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1D51E5" w14:paraId="7C680344" w14:textId="77777777">
      <w:pPr>
        <w:jc w:val="center"/>
        <w:rPr>
          <w:sz w:val="40"/>
        </w:rPr>
      </w:pPr>
    </w:p>
    <w:p w:rsidR="001D51E5" w14:paraId="3D5236D3" w14:textId="77777777">
      <w:pPr>
        <w:jc w:val="center"/>
        <w:rPr>
          <w:sz w:val="40"/>
        </w:rPr>
      </w:pPr>
    </w:p>
    <w:p w:rsidR="001D51E5" w14:paraId="160DFE84" w14:textId="77777777">
      <w:pPr>
        <w:jc w:val="center"/>
        <w:rPr>
          <w:sz w:val="40"/>
        </w:rPr>
      </w:pPr>
    </w:p>
    <w:p w:rsidR="003F6FC5" w:rsidRPr="003F6FC5" w:rsidP="003F6FC5" w14:paraId="31E9DAD5" w14:textId="78880267">
      <w:pPr>
        <w:pStyle w:val="BodyText"/>
        <w:jc w:val="center"/>
        <w:rPr>
          <w:sz w:val="44"/>
          <w:szCs w:val="44"/>
        </w:rPr>
      </w:pPr>
      <w:r>
        <w:rPr>
          <w:sz w:val="44"/>
          <w:szCs w:val="44"/>
        </w:rPr>
        <w:t>TIF, Tax Abatement</w:t>
      </w:r>
      <w:r w:rsidRPr="003F6FC5">
        <w:rPr>
          <w:sz w:val="44"/>
          <w:szCs w:val="44"/>
        </w:rPr>
        <w:t xml:space="preserve"> </w:t>
      </w:r>
      <w:r w:rsidR="00454398">
        <w:rPr>
          <w:sz w:val="44"/>
          <w:szCs w:val="44"/>
        </w:rPr>
        <w:t>and Financing</w:t>
      </w:r>
      <w:r>
        <w:rPr>
          <w:sz w:val="44"/>
          <w:szCs w:val="44"/>
        </w:rPr>
        <w:t xml:space="preserve"> </w:t>
      </w:r>
      <w:r w:rsidR="001F2183">
        <w:rPr>
          <w:sz w:val="44"/>
          <w:szCs w:val="44"/>
        </w:rPr>
        <w:t xml:space="preserve">Tools </w:t>
      </w:r>
      <w:r>
        <w:rPr>
          <w:sz w:val="44"/>
          <w:szCs w:val="44"/>
        </w:rPr>
        <w:br/>
      </w:r>
      <w:r w:rsidR="001F2183">
        <w:rPr>
          <w:sz w:val="44"/>
          <w:szCs w:val="44"/>
        </w:rPr>
        <w:t>for Cities</w:t>
      </w:r>
      <w:r>
        <w:rPr>
          <w:sz w:val="44"/>
          <w:szCs w:val="44"/>
        </w:rPr>
        <w:t xml:space="preserve"> in Iowa</w:t>
      </w:r>
    </w:p>
    <w:p w:rsidR="003F6FC5" w:rsidP="003F6FC5" w14:paraId="737CDECA" w14:textId="77777777">
      <w:pPr>
        <w:pStyle w:val="BodyText"/>
        <w:jc w:val="center"/>
        <w:rPr>
          <w:sz w:val="52"/>
          <w:szCs w:val="52"/>
        </w:rPr>
      </w:pPr>
    </w:p>
    <w:p w:rsidR="003F6FC5" w:rsidP="001F2183" w14:paraId="187BDB2E" w14:textId="56495052">
      <w:pPr>
        <w:pStyle w:val="BodyText"/>
        <w:jc w:val="center"/>
        <w:rPr>
          <w:sz w:val="40"/>
          <w:szCs w:val="40"/>
        </w:rPr>
      </w:pPr>
      <w:r>
        <w:rPr>
          <w:sz w:val="40"/>
          <w:szCs w:val="40"/>
        </w:rPr>
        <w:t xml:space="preserve">Iowa </w:t>
      </w:r>
      <w:r w:rsidR="00454398">
        <w:rPr>
          <w:sz w:val="40"/>
          <w:szCs w:val="40"/>
        </w:rPr>
        <w:t>Municipal Finance Officers</w:t>
      </w:r>
    </w:p>
    <w:p w:rsidR="00454398" w:rsidP="001F2183" w14:paraId="3DB99D6E" w14:textId="73434201">
      <w:pPr>
        <w:pStyle w:val="BodyText"/>
        <w:jc w:val="center"/>
        <w:rPr>
          <w:sz w:val="40"/>
          <w:szCs w:val="40"/>
        </w:rPr>
      </w:pPr>
      <w:r>
        <w:rPr>
          <w:sz w:val="40"/>
          <w:szCs w:val="40"/>
        </w:rPr>
        <w:t>Fall Conference</w:t>
      </w:r>
    </w:p>
    <w:p w:rsidR="003F6FC5" w:rsidP="003F6FC5" w14:paraId="6294277C" w14:textId="760765EE">
      <w:pPr>
        <w:pStyle w:val="BodyText"/>
        <w:jc w:val="center"/>
        <w:rPr>
          <w:sz w:val="40"/>
          <w:szCs w:val="40"/>
        </w:rPr>
      </w:pPr>
      <w:r>
        <w:rPr>
          <w:sz w:val="40"/>
          <w:szCs w:val="40"/>
        </w:rPr>
        <w:t>Des Moines</w:t>
      </w:r>
      <w:r w:rsidR="00FD7C87">
        <w:rPr>
          <w:sz w:val="40"/>
          <w:szCs w:val="40"/>
        </w:rPr>
        <w:t>, Iowa</w:t>
      </w:r>
    </w:p>
    <w:p w:rsidR="003F6FC5" w:rsidP="003F6FC5" w14:paraId="68BBAD97" w14:textId="77777777">
      <w:pPr>
        <w:pStyle w:val="BodyText"/>
        <w:rPr>
          <w:sz w:val="32"/>
          <w:szCs w:val="32"/>
        </w:rPr>
      </w:pPr>
    </w:p>
    <w:p w:rsidR="003F6FC5" w:rsidP="003F6FC5" w14:paraId="02FF6921" w14:textId="77777777">
      <w:pPr>
        <w:pStyle w:val="BodyText"/>
        <w:rPr>
          <w:sz w:val="32"/>
          <w:szCs w:val="32"/>
        </w:rPr>
      </w:pPr>
    </w:p>
    <w:p w:rsidR="003F6FC5" w:rsidP="003F6FC5" w14:paraId="1B70C05A" w14:textId="77777777">
      <w:pPr>
        <w:pStyle w:val="BodyText"/>
        <w:rPr>
          <w:sz w:val="32"/>
          <w:szCs w:val="32"/>
        </w:rPr>
      </w:pPr>
    </w:p>
    <w:p w:rsidR="003F6FC5" w:rsidP="003F6FC5" w14:paraId="4F8FFA5D" w14:textId="585E30F3">
      <w:pPr>
        <w:pStyle w:val="BodyText"/>
        <w:rPr>
          <w:sz w:val="32"/>
          <w:szCs w:val="32"/>
        </w:rPr>
      </w:pPr>
      <w:r>
        <w:rPr>
          <w:sz w:val="32"/>
          <w:szCs w:val="32"/>
        </w:rPr>
        <w:t xml:space="preserve">By: </w:t>
      </w:r>
      <w:r>
        <w:rPr>
          <w:sz w:val="32"/>
          <w:szCs w:val="32"/>
        </w:rPr>
        <w:tab/>
      </w:r>
      <w:r>
        <w:rPr>
          <w:sz w:val="32"/>
          <w:szCs w:val="32"/>
        </w:rPr>
        <w:tab/>
      </w:r>
      <w:r w:rsidR="00454398">
        <w:rPr>
          <w:sz w:val="32"/>
          <w:szCs w:val="32"/>
        </w:rPr>
        <w:t>John Danos, Amy Bjork and Erin Regan</w:t>
      </w:r>
    </w:p>
    <w:p w:rsidR="003F6FC5" w:rsidP="003F6FC5" w14:paraId="61849F12" w14:textId="1E33F5DA">
      <w:pPr>
        <w:pStyle w:val="BodyText"/>
        <w:rPr>
          <w:sz w:val="32"/>
          <w:szCs w:val="32"/>
        </w:rPr>
      </w:pPr>
      <w:r>
        <w:rPr>
          <w:sz w:val="32"/>
          <w:szCs w:val="32"/>
        </w:rPr>
        <w:t>Date:</w:t>
      </w:r>
      <w:r>
        <w:rPr>
          <w:sz w:val="32"/>
          <w:szCs w:val="32"/>
        </w:rPr>
        <w:tab/>
      </w:r>
      <w:r>
        <w:rPr>
          <w:sz w:val="32"/>
          <w:szCs w:val="32"/>
        </w:rPr>
        <w:tab/>
      </w:r>
      <w:r w:rsidR="00454398">
        <w:rPr>
          <w:sz w:val="32"/>
          <w:szCs w:val="32"/>
        </w:rPr>
        <w:t>October 18</w:t>
      </w:r>
      <w:r w:rsidR="00FD7C87">
        <w:rPr>
          <w:sz w:val="32"/>
          <w:szCs w:val="32"/>
        </w:rPr>
        <w:t>, 202</w:t>
      </w:r>
      <w:r w:rsidR="0093268A">
        <w:rPr>
          <w:sz w:val="32"/>
          <w:szCs w:val="32"/>
        </w:rPr>
        <w:t>4</w:t>
      </w:r>
    </w:p>
    <w:p w:rsidR="003F6FC5" w:rsidP="003F6FC5" w14:paraId="37D754D9" w14:textId="77777777">
      <w:pPr>
        <w:pStyle w:val="BodyText"/>
        <w:rPr>
          <w:sz w:val="28"/>
          <w:szCs w:val="28"/>
        </w:rPr>
      </w:pPr>
      <w:r>
        <w:rPr>
          <w:sz w:val="28"/>
          <w:szCs w:val="28"/>
        </w:rPr>
        <w:t>For additional information please contact:</w:t>
      </w:r>
    </w:p>
    <w:p w:rsidR="00336D9B" w:rsidP="003F6FC5" w14:paraId="5ADEE478" w14:textId="6BDA9612">
      <w:pPr>
        <w:pStyle w:val="BodyText"/>
        <w:rPr>
          <w:sz w:val="28"/>
          <w:szCs w:val="28"/>
        </w:rPr>
      </w:pPr>
      <w:r>
        <w:rPr>
          <w:sz w:val="28"/>
          <w:szCs w:val="28"/>
        </w:rPr>
        <w:t>John Danos</w:t>
      </w:r>
      <w:r w:rsidR="001F2183">
        <w:rPr>
          <w:sz w:val="28"/>
          <w:szCs w:val="28"/>
        </w:rPr>
        <w:tab/>
      </w:r>
      <w:r w:rsidR="001F2183">
        <w:rPr>
          <w:sz w:val="28"/>
          <w:szCs w:val="28"/>
        </w:rPr>
        <w:tab/>
      </w:r>
      <w:r w:rsidR="001F2183">
        <w:rPr>
          <w:sz w:val="28"/>
          <w:szCs w:val="28"/>
        </w:rPr>
        <w:tab/>
      </w:r>
      <w:r w:rsidR="001F2183">
        <w:rPr>
          <w:sz w:val="28"/>
          <w:szCs w:val="28"/>
        </w:rPr>
        <w:tab/>
      </w:r>
      <w:r w:rsidR="001F2183">
        <w:rPr>
          <w:sz w:val="28"/>
          <w:szCs w:val="28"/>
        </w:rPr>
        <w:tab/>
      </w:r>
      <w:r>
        <w:rPr>
          <w:sz w:val="28"/>
          <w:szCs w:val="28"/>
        </w:rPr>
        <w:t>Amy Bjork</w:t>
      </w:r>
      <w:r w:rsidR="003F6FC5">
        <w:rPr>
          <w:sz w:val="28"/>
          <w:szCs w:val="28"/>
        </w:rPr>
        <w:br/>
        <w:t>Dorsey &amp; Whitney LLP</w:t>
      </w:r>
      <w:r w:rsidR="001F2183">
        <w:rPr>
          <w:sz w:val="28"/>
          <w:szCs w:val="28"/>
        </w:rPr>
        <w:tab/>
      </w:r>
      <w:r w:rsidR="001F2183">
        <w:rPr>
          <w:sz w:val="28"/>
          <w:szCs w:val="28"/>
        </w:rPr>
        <w:tab/>
      </w:r>
      <w:r w:rsidR="001F2183">
        <w:rPr>
          <w:sz w:val="28"/>
          <w:szCs w:val="28"/>
        </w:rPr>
        <w:tab/>
        <w:t>Dorsey &amp; Whitney LLP</w:t>
      </w:r>
      <w:r w:rsidR="003F6FC5">
        <w:rPr>
          <w:sz w:val="28"/>
          <w:szCs w:val="28"/>
        </w:rPr>
        <w:br/>
        <w:t>(515) 283-1000</w:t>
      </w:r>
      <w:r w:rsidR="001F2183">
        <w:rPr>
          <w:sz w:val="28"/>
          <w:szCs w:val="28"/>
        </w:rPr>
        <w:tab/>
      </w:r>
      <w:r w:rsidR="001F2183">
        <w:rPr>
          <w:sz w:val="28"/>
          <w:szCs w:val="28"/>
        </w:rPr>
        <w:tab/>
      </w:r>
      <w:r w:rsidR="001F2183">
        <w:rPr>
          <w:sz w:val="28"/>
          <w:szCs w:val="28"/>
        </w:rPr>
        <w:tab/>
      </w:r>
      <w:r w:rsidR="001F2183">
        <w:rPr>
          <w:sz w:val="28"/>
          <w:szCs w:val="28"/>
        </w:rPr>
        <w:tab/>
        <w:t>(515) 283-1000</w:t>
      </w:r>
      <w:r w:rsidR="003F6FC5">
        <w:rPr>
          <w:sz w:val="28"/>
          <w:szCs w:val="28"/>
        </w:rPr>
        <w:br/>
      </w:r>
      <w:hyperlink r:id="rId4" w:history="1">
        <w:r w:rsidRPr="00E1286B" w:rsidR="001F2183">
          <w:rPr>
            <w:rStyle w:val="Hyperlink"/>
            <w:sz w:val="28"/>
            <w:szCs w:val="28"/>
          </w:rPr>
          <w:t>bjork.amy@dorsey.com</w:t>
        </w:r>
      </w:hyperlink>
      <w:r w:rsidR="001F2183">
        <w:rPr>
          <w:sz w:val="28"/>
          <w:szCs w:val="28"/>
        </w:rPr>
        <w:tab/>
      </w:r>
      <w:r w:rsidR="001F2183">
        <w:rPr>
          <w:sz w:val="28"/>
          <w:szCs w:val="28"/>
        </w:rPr>
        <w:tab/>
      </w:r>
      <w:r w:rsidR="001F2183">
        <w:rPr>
          <w:sz w:val="28"/>
          <w:szCs w:val="28"/>
        </w:rPr>
        <w:tab/>
      </w:r>
      <w:hyperlink r:id="rId5" w:history="1">
        <w:r w:rsidRPr="00FE4E1B" w:rsidR="0063354D">
          <w:rPr>
            <w:rStyle w:val="Hyperlink"/>
            <w:sz w:val="28"/>
            <w:szCs w:val="28"/>
          </w:rPr>
          <w:t>danos.john@dorsey.com</w:t>
        </w:r>
      </w:hyperlink>
      <w:r w:rsidR="0063354D">
        <w:rPr>
          <w:sz w:val="28"/>
          <w:szCs w:val="28"/>
        </w:rPr>
        <w:t xml:space="preserve"> </w:t>
      </w:r>
    </w:p>
    <w:p w:rsidR="001F2183" w:rsidP="00454398" w14:paraId="0D1B6F4D" w14:textId="07FAE7CD">
      <w:pPr>
        <w:pStyle w:val="BodyText"/>
        <w:rPr>
          <w:sz w:val="22"/>
          <w:szCs w:val="22"/>
        </w:rPr>
      </w:pPr>
      <w:r>
        <w:rPr>
          <w:sz w:val="28"/>
          <w:szCs w:val="28"/>
        </w:rPr>
        <w:t>Erin Regan</w:t>
      </w:r>
      <w:r>
        <w:rPr>
          <w:sz w:val="28"/>
          <w:szCs w:val="28"/>
        </w:rPr>
        <w:tab/>
      </w:r>
      <w:r>
        <w:rPr>
          <w:sz w:val="28"/>
          <w:szCs w:val="28"/>
        </w:rPr>
        <w:tab/>
      </w:r>
      <w:r>
        <w:rPr>
          <w:sz w:val="28"/>
          <w:szCs w:val="28"/>
        </w:rPr>
        <w:tab/>
      </w:r>
      <w:r>
        <w:rPr>
          <w:sz w:val="28"/>
          <w:szCs w:val="28"/>
        </w:rPr>
        <w:tab/>
      </w:r>
      <w:r>
        <w:rPr>
          <w:sz w:val="28"/>
          <w:szCs w:val="28"/>
        </w:rPr>
        <w:tab/>
      </w:r>
      <w:r>
        <w:rPr>
          <w:sz w:val="28"/>
          <w:szCs w:val="28"/>
        </w:rPr>
        <w:br/>
        <w:t>Dorsey &amp; Whitney LLP</w:t>
      </w:r>
      <w:r>
        <w:rPr>
          <w:sz w:val="28"/>
          <w:szCs w:val="28"/>
        </w:rPr>
        <w:tab/>
      </w:r>
      <w:r>
        <w:rPr>
          <w:sz w:val="28"/>
          <w:szCs w:val="28"/>
        </w:rPr>
        <w:tab/>
      </w:r>
      <w:r>
        <w:rPr>
          <w:sz w:val="28"/>
          <w:szCs w:val="28"/>
        </w:rPr>
        <w:tab/>
      </w:r>
      <w:r>
        <w:rPr>
          <w:sz w:val="28"/>
          <w:szCs w:val="28"/>
        </w:rPr>
        <w:br/>
        <w:t>(515) 283-1000</w:t>
      </w:r>
      <w:r>
        <w:rPr>
          <w:sz w:val="28"/>
          <w:szCs w:val="28"/>
        </w:rPr>
        <w:tab/>
      </w:r>
      <w:r>
        <w:rPr>
          <w:sz w:val="28"/>
          <w:szCs w:val="28"/>
        </w:rPr>
        <w:tab/>
      </w:r>
      <w:r>
        <w:rPr>
          <w:sz w:val="28"/>
          <w:szCs w:val="28"/>
        </w:rPr>
        <w:tab/>
      </w:r>
      <w:r>
        <w:rPr>
          <w:sz w:val="28"/>
          <w:szCs w:val="28"/>
        </w:rPr>
        <w:tab/>
      </w:r>
      <w:r>
        <w:rPr>
          <w:sz w:val="28"/>
          <w:szCs w:val="28"/>
        </w:rPr>
        <w:br/>
      </w:r>
      <w:hyperlink r:id="rId6" w:history="1">
        <w:r w:rsidRPr="00FE4E1B" w:rsidR="0063354D">
          <w:rPr>
            <w:rStyle w:val="Hyperlink"/>
          </w:rPr>
          <w:t>regan.erin@dorsey.com</w:t>
        </w:r>
      </w:hyperlink>
      <w:r w:rsidR="0063354D">
        <w:t xml:space="preserve"> </w:t>
      </w:r>
      <w:r>
        <w:rPr>
          <w:sz w:val="28"/>
          <w:szCs w:val="28"/>
        </w:rPr>
        <w:tab/>
      </w:r>
      <w:r>
        <w:rPr>
          <w:sz w:val="22"/>
          <w:szCs w:val="22"/>
        </w:rPr>
        <w:br w:type="page"/>
      </w:r>
    </w:p>
    <w:p w:rsidR="001D51E5" w:rsidRPr="00454398" w14:paraId="70898DD3" w14:textId="77777777">
      <w:pPr>
        <w:rPr>
          <w:szCs w:val="24"/>
        </w:rPr>
      </w:pPr>
      <w:r w:rsidRPr="00454398">
        <w:rPr>
          <w:szCs w:val="24"/>
        </w:rPr>
        <w:t>PROGRAM AGENDA:</w:t>
      </w:r>
    </w:p>
    <w:p w:rsidR="001D51E5" w:rsidRPr="00454398" w14:paraId="6812C1F9" w14:textId="77777777">
      <w:pPr>
        <w:rPr>
          <w:szCs w:val="24"/>
        </w:rPr>
      </w:pPr>
    </w:p>
    <w:p w:rsidR="003F6FC5" w:rsidRPr="00454398" w:rsidP="003F6FC5" w14:paraId="32A86412" w14:textId="77777777">
      <w:pPr>
        <w:pStyle w:val="BodyText"/>
      </w:pPr>
      <w:r w:rsidRPr="00454398">
        <w:t>I.</w:t>
      </w:r>
      <w:r w:rsidRPr="00454398">
        <w:tab/>
      </w:r>
      <w:r w:rsidRPr="00454398">
        <w:t>Introductions</w:t>
      </w:r>
    </w:p>
    <w:p w:rsidR="00D07252" w:rsidRPr="00454398" w:rsidP="003F6FC5" w14:paraId="0113CEA0" w14:textId="77777777">
      <w:pPr>
        <w:pStyle w:val="BodyText"/>
      </w:pPr>
      <w:r w:rsidRPr="00454398">
        <w:t>II.</w:t>
      </w:r>
      <w:r w:rsidRPr="00454398">
        <w:tab/>
        <w:t>Urban Renewal and Tax Increment Financing</w:t>
      </w:r>
    </w:p>
    <w:p w:rsidR="003F6FC5" w:rsidRPr="00454398" w:rsidP="003F6FC5" w14:paraId="6FEA798F" w14:textId="77777777">
      <w:pPr>
        <w:pStyle w:val="BodyText"/>
      </w:pPr>
      <w:r w:rsidRPr="00454398">
        <w:tab/>
        <w:t>A</w:t>
      </w:r>
      <w:r w:rsidRPr="00454398">
        <w:t>) Foundations</w:t>
      </w:r>
    </w:p>
    <w:p w:rsidR="00901959" w:rsidRPr="00454398" w:rsidP="003F6FC5" w14:paraId="11464DF3" w14:textId="77777777">
      <w:pPr>
        <w:pStyle w:val="BodyText"/>
      </w:pPr>
      <w:r w:rsidRPr="00454398">
        <w:tab/>
      </w:r>
      <w:r w:rsidRPr="00454398" w:rsidR="00D07252">
        <w:tab/>
        <w:t>1.</w:t>
      </w:r>
      <w:r w:rsidRPr="00454398" w:rsidR="007A7121">
        <w:t xml:space="preserve"> Law – Iowa’s Urban Renewal Law, Chapter 403, Code of Iowa</w:t>
      </w:r>
      <w:r w:rsidRPr="00454398" w:rsidR="007A7121">
        <w:br/>
      </w:r>
      <w:r w:rsidRPr="00454398" w:rsidR="007A7121">
        <w:tab/>
      </w:r>
      <w:r w:rsidRPr="00454398" w:rsidR="00D07252">
        <w:tab/>
        <w:t>2.</w:t>
      </w:r>
      <w:r w:rsidRPr="00454398">
        <w:t xml:space="preserve"> Mechanic</w:t>
      </w:r>
      <w:r w:rsidRPr="00454398" w:rsidR="00FE1DBC">
        <w:t>s</w:t>
      </w:r>
      <w:r w:rsidRPr="00454398">
        <w:t xml:space="preserve"> – Taxes and Increment and TIF</w:t>
      </w:r>
      <w:r w:rsidRPr="00454398" w:rsidR="001D379C">
        <w:br/>
      </w:r>
      <w:r w:rsidRPr="00454398" w:rsidR="001D379C">
        <w:tab/>
      </w:r>
      <w:r w:rsidRPr="00454398" w:rsidR="00D07252">
        <w:tab/>
        <w:t>3.</w:t>
      </w:r>
      <w:r w:rsidRPr="00454398" w:rsidR="001D379C">
        <w:t xml:space="preserve"> Policy - Economic Development or Slum/Blight Alleviation</w:t>
      </w:r>
      <w:r w:rsidRPr="00454398">
        <w:br/>
      </w:r>
      <w:r w:rsidRPr="00454398">
        <w:tab/>
      </w:r>
      <w:r w:rsidRPr="00454398" w:rsidR="00D07252">
        <w:tab/>
        <w:t>4.</w:t>
      </w:r>
      <w:r w:rsidRPr="00454398">
        <w:t xml:space="preserve"> Procedure- Setting up an Urban Renewal Area and TIF District</w:t>
      </w:r>
    </w:p>
    <w:p w:rsidR="003F6FC5" w:rsidRPr="00454398" w:rsidP="003F6FC5" w14:paraId="512930FA" w14:textId="77777777">
      <w:pPr>
        <w:pStyle w:val="BodyText"/>
      </w:pPr>
      <w:r w:rsidRPr="00454398">
        <w:tab/>
        <w:t>B</w:t>
      </w:r>
      <w:r w:rsidRPr="00454398">
        <w:t xml:space="preserve">) </w:t>
      </w:r>
      <w:r w:rsidRPr="00454398">
        <w:t>Urban Renewal Projects</w:t>
      </w:r>
    </w:p>
    <w:p w:rsidR="001D379C" w:rsidRPr="00454398" w:rsidP="003F6FC5" w14:paraId="3448CE86" w14:textId="77777777">
      <w:pPr>
        <w:pStyle w:val="BodyText"/>
      </w:pPr>
      <w:r w:rsidRPr="00454398">
        <w:tab/>
      </w:r>
      <w:r w:rsidRPr="00454398" w:rsidR="00D07252">
        <w:tab/>
        <w:t>1. Public infrastructure</w:t>
      </w:r>
      <w:r w:rsidRPr="00454398" w:rsidR="00D07252">
        <w:br/>
      </w:r>
      <w:r w:rsidRPr="00454398" w:rsidR="00D07252">
        <w:tab/>
      </w:r>
      <w:r w:rsidRPr="00454398" w:rsidR="00D07252">
        <w:tab/>
        <w:t xml:space="preserve">2. </w:t>
      </w:r>
      <w:r w:rsidRPr="00454398">
        <w:t>Direct financial assistance to private developers and businesses</w:t>
      </w:r>
      <w:r w:rsidRPr="00454398" w:rsidR="00D07252">
        <w:br/>
      </w:r>
      <w:r w:rsidRPr="00454398" w:rsidR="00D07252">
        <w:tab/>
      </w:r>
      <w:r w:rsidRPr="00454398" w:rsidR="00D07252">
        <w:tab/>
        <w:t xml:space="preserve">3. </w:t>
      </w:r>
      <w:r w:rsidRPr="00454398">
        <w:t>Demolition and site preparation projects</w:t>
      </w:r>
      <w:r w:rsidRPr="00454398" w:rsidR="00D07252">
        <w:br/>
      </w:r>
      <w:r w:rsidRPr="00454398" w:rsidR="00D07252">
        <w:tab/>
      </w:r>
      <w:r w:rsidRPr="00454398" w:rsidR="00D07252">
        <w:tab/>
        <w:t>4. Main Street, downtown and business revitalization projects</w:t>
      </w:r>
      <w:r w:rsidRPr="00454398" w:rsidR="00D07252">
        <w:br/>
      </w:r>
      <w:r w:rsidRPr="00454398" w:rsidR="00D07252">
        <w:tab/>
      </w:r>
      <w:r w:rsidRPr="00454398" w:rsidR="00D07252">
        <w:tab/>
        <w:t xml:space="preserve">5. </w:t>
      </w:r>
      <w:r w:rsidRPr="00454398">
        <w:t>Housing development</w:t>
      </w:r>
    </w:p>
    <w:p w:rsidR="003F6FC5" w:rsidRPr="00454398" w:rsidP="003F6FC5" w14:paraId="6827AD24" w14:textId="77777777">
      <w:pPr>
        <w:pStyle w:val="BodyText"/>
      </w:pPr>
      <w:r w:rsidRPr="00454398">
        <w:tab/>
        <w:t xml:space="preserve">C) </w:t>
      </w:r>
      <w:r w:rsidRPr="00454398">
        <w:t>Obligations</w:t>
      </w:r>
    </w:p>
    <w:p w:rsidR="001D379C" w:rsidRPr="00454398" w:rsidP="001D379C" w14:paraId="552A1C56" w14:textId="77777777">
      <w:pPr>
        <w:pStyle w:val="BodyText"/>
        <w:spacing w:after="0"/>
      </w:pPr>
      <w:r w:rsidRPr="00454398">
        <w:tab/>
      </w:r>
      <w:r w:rsidRPr="00454398" w:rsidR="00D07252">
        <w:tab/>
        <w:t>1.</w:t>
      </w:r>
      <w:r w:rsidRPr="00454398">
        <w:t xml:space="preserve"> </w:t>
      </w:r>
      <w:r w:rsidRPr="00454398">
        <w:t>Types of Obligations</w:t>
      </w:r>
    </w:p>
    <w:p w:rsidR="00D07252" w:rsidRPr="00454398" w:rsidP="00D07252" w14:paraId="4B8DFC6A" w14:textId="77777777">
      <w:pPr>
        <w:pStyle w:val="BodyText"/>
        <w:numPr>
          <w:ilvl w:val="1"/>
          <w:numId w:val="16"/>
        </w:numPr>
        <w:spacing w:after="0"/>
        <w:ind w:left="2160"/>
      </w:pPr>
      <w:r w:rsidRPr="00454398">
        <w:t>Loans – General Obligation and Revenue loans</w:t>
      </w:r>
    </w:p>
    <w:p w:rsidR="00D07252" w:rsidRPr="00454398" w:rsidP="00D07252" w14:paraId="21193AF0" w14:textId="77777777">
      <w:pPr>
        <w:pStyle w:val="BodyText"/>
        <w:numPr>
          <w:ilvl w:val="1"/>
          <w:numId w:val="16"/>
        </w:numPr>
        <w:spacing w:after="0"/>
        <w:ind w:left="2160"/>
      </w:pPr>
      <w:r w:rsidRPr="00454398">
        <w:t>Bon</w:t>
      </w:r>
      <w:r w:rsidRPr="00454398" w:rsidR="001D379C">
        <w:t>ds – Pure TIF/Section 403.9</w:t>
      </w:r>
    </w:p>
    <w:p w:rsidR="00D07252" w:rsidRPr="00454398" w:rsidP="00D07252" w14:paraId="5FF6C727" w14:textId="77777777">
      <w:pPr>
        <w:pStyle w:val="BodyText"/>
        <w:numPr>
          <w:ilvl w:val="1"/>
          <w:numId w:val="16"/>
        </w:numPr>
        <w:spacing w:after="0"/>
        <w:ind w:left="2160"/>
      </w:pPr>
      <w:r w:rsidRPr="00454398">
        <w:t>Development Agreements</w:t>
      </w:r>
    </w:p>
    <w:p w:rsidR="006746A0" w:rsidRPr="00454398" w:rsidP="00D07252" w14:paraId="19430554" w14:textId="77777777">
      <w:pPr>
        <w:pStyle w:val="BodyText"/>
        <w:numPr>
          <w:ilvl w:val="1"/>
          <w:numId w:val="16"/>
        </w:numPr>
        <w:spacing w:after="0"/>
        <w:ind w:left="2160"/>
      </w:pPr>
      <w:r w:rsidRPr="00454398">
        <w:t>Internal Advances</w:t>
      </w:r>
    </w:p>
    <w:p w:rsidR="001F2183" w:rsidRPr="00454398" w:rsidP="00616868" w14:paraId="3B30190B" w14:textId="77777777">
      <w:pPr>
        <w:pStyle w:val="BodyText"/>
        <w:spacing w:after="0"/>
      </w:pPr>
      <w:r w:rsidRPr="00454398">
        <w:tab/>
      </w:r>
      <w:r w:rsidRPr="00454398">
        <w:tab/>
        <w:t>2.</w:t>
      </w:r>
      <w:r w:rsidRPr="00454398" w:rsidR="00616868">
        <w:t xml:space="preserve"> </w:t>
      </w:r>
      <w:r w:rsidRPr="00454398" w:rsidR="006746A0">
        <w:t>Authorizing processes</w:t>
      </w:r>
    </w:p>
    <w:p w:rsidR="003F6FC5" w:rsidRPr="00454398" w:rsidP="00616868" w14:paraId="3F3D974F" w14:textId="77777777">
      <w:pPr>
        <w:pStyle w:val="BodyText"/>
        <w:spacing w:after="0"/>
      </w:pPr>
      <w:r w:rsidRPr="00454398">
        <w:tab/>
      </w:r>
      <w:r w:rsidRPr="00454398">
        <w:tab/>
        <w:t xml:space="preserve">3. </w:t>
      </w:r>
      <w:r w:rsidRPr="00454398">
        <w:t>Certification of obligations</w:t>
      </w:r>
    </w:p>
    <w:p w:rsidR="00616868" w:rsidRPr="00454398" w:rsidP="00616868" w14:paraId="38E28326" w14:textId="77777777">
      <w:pPr>
        <w:pStyle w:val="BodyText"/>
        <w:spacing w:after="0"/>
      </w:pPr>
    </w:p>
    <w:p w:rsidR="00901959" w:rsidRPr="00454398" w:rsidP="00901959" w14:paraId="64CE0D4A" w14:textId="77777777">
      <w:pPr>
        <w:pStyle w:val="BodyText"/>
      </w:pPr>
      <w:r w:rsidRPr="00454398">
        <w:tab/>
        <w:t xml:space="preserve">D) </w:t>
      </w:r>
      <w:r w:rsidRPr="00454398">
        <w:t>Limitations</w:t>
      </w:r>
    </w:p>
    <w:p w:rsidR="00C25F77" w:rsidRPr="00454398" w:rsidP="00901959" w14:paraId="4FE0AA78" w14:textId="77777777">
      <w:pPr>
        <w:pStyle w:val="BodyText"/>
        <w:ind w:left="720"/>
      </w:pPr>
      <w:r w:rsidRPr="00454398">
        <w:tab/>
        <w:t>1. Procedural Limitations</w:t>
      </w:r>
      <w:r w:rsidRPr="00454398">
        <w:br/>
      </w:r>
      <w:r w:rsidRPr="00454398">
        <w:tab/>
        <w:t xml:space="preserve">2. </w:t>
      </w:r>
      <w:r w:rsidRPr="00454398" w:rsidR="00901959">
        <w:t>Time co</w:t>
      </w:r>
      <w:r w:rsidRPr="00454398">
        <w:t>nstraints on TIF collections</w:t>
      </w:r>
      <w:r w:rsidRPr="00454398">
        <w:br/>
      </w:r>
      <w:r w:rsidRPr="00454398">
        <w:tab/>
        <w:t>3. Business Relocations</w:t>
      </w:r>
      <w:r w:rsidRPr="00454398">
        <w:br/>
      </w:r>
      <w:r w:rsidRPr="00454398">
        <w:tab/>
        <w:t>4. Budget impact</w:t>
      </w:r>
      <w:r w:rsidRPr="00454398">
        <w:br/>
      </w:r>
      <w:r w:rsidRPr="00454398">
        <w:tab/>
        <w:t xml:space="preserve">5. </w:t>
      </w:r>
      <w:r w:rsidRPr="00454398" w:rsidR="00901959">
        <w:t>Constitutional Debt Lim</w:t>
      </w:r>
      <w:r w:rsidRPr="00454398">
        <w:t xml:space="preserve">it and Annual Appropriation </w:t>
      </w:r>
      <w:r w:rsidRPr="00454398">
        <w:br/>
      </w:r>
      <w:r w:rsidRPr="00454398">
        <w:tab/>
        <w:t xml:space="preserve">6. </w:t>
      </w:r>
      <w:r w:rsidRPr="00454398" w:rsidR="00901959">
        <w:t>Political</w:t>
      </w:r>
    </w:p>
    <w:p w:rsidR="00C25F77" w:rsidRPr="00454398" w:rsidP="00C25F77" w14:paraId="78F8AE95" w14:textId="77777777">
      <w:pPr>
        <w:pStyle w:val="BodyText"/>
      </w:pPr>
      <w:r w:rsidRPr="00454398">
        <w:t>III.</w:t>
      </w:r>
      <w:r w:rsidRPr="00454398">
        <w:tab/>
        <w:t>Other Economic Development and Redevelopment Tools</w:t>
      </w:r>
    </w:p>
    <w:p w:rsidR="00C25F77" w:rsidRPr="00454398" w:rsidP="00C25F77" w14:paraId="774E8708" w14:textId="77777777">
      <w:pPr>
        <w:pStyle w:val="BodyText"/>
      </w:pPr>
      <w:r w:rsidRPr="00454398">
        <w:tab/>
        <w:t>A) Home Rule and Chapter 15A</w:t>
      </w:r>
      <w:r w:rsidRPr="00454398">
        <w:br/>
      </w:r>
      <w:r w:rsidRPr="00454398">
        <w:br/>
      </w:r>
      <w:r w:rsidRPr="00454398">
        <w:tab/>
        <w:t>B) Property Tax Abatement</w:t>
      </w:r>
    </w:p>
    <w:p w:rsidR="00454398" w:rsidRPr="00454398" w:rsidP="00C25F77" w14:paraId="330FA259" w14:textId="79DDCFB3">
      <w:pPr>
        <w:pStyle w:val="BodyText"/>
      </w:pPr>
      <w:r w:rsidRPr="00454398">
        <w:t>IV.</w:t>
      </w:r>
      <w:r w:rsidRPr="00454398">
        <w:tab/>
        <w:t>Financing Tools for Cities in Iowa</w:t>
      </w:r>
    </w:p>
    <w:p w:rsidR="00083550" w:rsidRPr="002B3E1E" w:rsidP="00083550" w14:paraId="1A9F3652" w14:textId="77777777">
      <w:pPr>
        <w:rPr>
          <w:b/>
          <w:sz w:val="32"/>
          <w:szCs w:val="32"/>
        </w:rPr>
      </w:pPr>
      <w:r>
        <w:rPr>
          <w:sz w:val="36"/>
        </w:rPr>
        <w:br w:type="page"/>
      </w:r>
      <w:r w:rsidRPr="002B3E1E">
        <w:rPr>
          <w:b/>
          <w:sz w:val="32"/>
          <w:szCs w:val="32"/>
          <w:u w:val="single"/>
        </w:rPr>
        <w:t>Steps to follow every time you have a new TIF application:</w:t>
      </w:r>
    </w:p>
    <w:p w:rsidR="00083550" w:rsidP="00083550" w14:paraId="68F3975E" w14:textId="77777777">
      <w:pPr>
        <w:rPr>
          <w:b/>
          <w:sz w:val="32"/>
          <w:szCs w:val="32"/>
        </w:rPr>
      </w:pPr>
    </w:p>
    <w:p w:rsidR="00083550" w:rsidRPr="002B3E1E" w:rsidP="00083550" w14:paraId="6402D819" w14:textId="77777777">
      <w:pPr>
        <w:rPr>
          <w:b/>
          <w:sz w:val="32"/>
          <w:szCs w:val="32"/>
        </w:rPr>
      </w:pPr>
      <w:r w:rsidRPr="002B3E1E">
        <w:rPr>
          <w:b/>
          <w:sz w:val="32"/>
          <w:szCs w:val="32"/>
        </w:rPr>
        <w:t>1)</w:t>
      </w:r>
      <w:r w:rsidRPr="002B3E1E">
        <w:rPr>
          <w:b/>
          <w:sz w:val="32"/>
          <w:szCs w:val="32"/>
        </w:rPr>
        <w:tab/>
        <w:t>Identify and plan your project</w:t>
      </w:r>
    </w:p>
    <w:p w:rsidR="00083550" w:rsidRPr="002B3E1E" w:rsidP="00083550" w14:paraId="5C2926F3" w14:textId="77777777">
      <w:pPr>
        <w:rPr>
          <w:b/>
          <w:sz w:val="32"/>
          <w:szCs w:val="32"/>
        </w:rPr>
      </w:pPr>
      <w:r w:rsidRPr="002B3E1E">
        <w:rPr>
          <w:b/>
          <w:sz w:val="32"/>
          <w:szCs w:val="32"/>
        </w:rPr>
        <w:t>2)</w:t>
      </w:r>
      <w:r w:rsidRPr="002B3E1E">
        <w:rPr>
          <w:b/>
          <w:sz w:val="32"/>
          <w:szCs w:val="32"/>
        </w:rPr>
        <w:tab/>
        <w:t>Establish/update your plan and area</w:t>
      </w:r>
    </w:p>
    <w:p w:rsidR="00083550" w:rsidRPr="002B3E1E" w:rsidP="00083550" w14:paraId="31C81963" w14:textId="77777777">
      <w:pPr>
        <w:rPr>
          <w:b/>
          <w:sz w:val="32"/>
          <w:szCs w:val="32"/>
        </w:rPr>
      </w:pPr>
      <w:r w:rsidRPr="002B3E1E">
        <w:rPr>
          <w:b/>
          <w:sz w:val="32"/>
          <w:szCs w:val="32"/>
        </w:rPr>
        <w:t>3)</w:t>
      </w:r>
      <w:r w:rsidRPr="002B3E1E">
        <w:rPr>
          <w:b/>
          <w:sz w:val="32"/>
          <w:szCs w:val="32"/>
        </w:rPr>
        <w:tab/>
        <w:t>Incur debt to fund your project</w:t>
      </w:r>
    </w:p>
    <w:p w:rsidR="00083550" w:rsidRPr="002B3E1E" w:rsidP="00083550" w14:paraId="6482AE06" w14:textId="77777777">
      <w:pPr>
        <w:rPr>
          <w:b/>
          <w:sz w:val="32"/>
          <w:szCs w:val="32"/>
        </w:rPr>
      </w:pPr>
      <w:r w:rsidRPr="002B3E1E">
        <w:rPr>
          <w:b/>
          <w:sz w:val="32"/>
          <w:szCs w:val="32"/>
        </w:rPr>
        <w:t>4)</w:t>
      </w:r>
      <w:r w:rsidRPr="002B3E1E">
        <w:rPr>
          <w:b/>
          <w:sz w:val="32"/>
          <w:szCs w:val="32"/>
        </w:rPr>
        <w:tab/>
        <w:t>Certify your debt to County and make a claim on TIF</w:t>
      </w:r>
    </w:p>
    <w:p w:rsidR="00083550" w:rsidRPr="002B3E1E" w:rsidP="00083550" w14:paraId="045B0BD4" w14:textId="77777777">
      <w:pPr>
        <w:rPr>
          <w:b/>
          <w:sz w:val="32"/>
          <w:szCs w:val="32"/>
        </w:rPr>
      </w:pPr>
      <w:r w:rsidRPr="002B3E1E">
        <w:rPr>
          <w:b/>
          <w:sz w:val="32"/>
          <w:szCs w:val="32"/>
        </w:rPr>
        <w:t>5)</w:t>
      </w:r>
      <w:r w:rsidRPr="002B3E1E">
        <w:rPr>
          <w:b/>
          <w:sz w:val="32"/>
          <w:szCs w:val="32"/>
        </w:rPr>
        <w:tab/>
        <w:t>Receive TIF from County and make payment on debt</w:t>
      </w:r>
    </w:p>
    <w:p w:rsidR="00083550" w:rsidRPr="00BC65B7" w:rsidP="00616868" w14:paraId="33E169DB" w14:textId="77777777">
      <w:pPr>
        <w:pStyle w:val="BodyText"/>
        <w:spacing w:after="120"/>
        <w:rPr>
          <w:sz w:val="20"/>
        </w:rPr>
      </w:pPr>
      <w:r>
        <w:rPr>
          <w:sz w:val="36"/>
        </w:rPr>
        <w:br w:type="page"/>
      </w:r>
      <w:r w:rsidR="00160AA7">
        <w:rPr>
          <w:noProof/>
        </w:rPr>
        <mc:AlternateContent>
          <mc:Choice Requires="wps">
            <w:drawing>
              <wp:anchor distT="0" distB="0" distL="114300" distR="114300" simplePos="0" relativeHeight="251660288" behindDoc="0" locked="0" layoutInCell="1" allowOverlap="1">
                <wp:simplePos x="0" y="0"/>
                <wp:positionH relativeFrom="column">
                  <wp:posOffset>4744085</wp:posOffset>
                </wp:positionH>
                <wp:positionV relativeFrom="paragraph">
                  <wp:posOffset>160020</wp:posOffset>
                </wp:positionV>
                <wp:extent cx="2066290" cy="344170"/>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6290" cy="344170"/>
                        </a:xfrm>
                        <a:prstGeom prst="rect">
                          <a:avLst/>
                        </a:prstGeom>
                        <a:noFill/>
                        <a:ln w="9525">
                          <a:noFill/>
                          <a:miter lim="800000"/>
                          <a:headEnd/>
                          <a:tailEnd/>
                        </a:ln>
                      </wps:spPr>
                      <wps:txbx>
                        <w:txbxContent>
                          <w:p w:rsidR="00EA1660" w:rsidRPr="00B66751" w:rsidP="00EA1660" w14:textId="77777777">
                            <w:pPr>
                              <w:rPr>
                                <w:rFonts w:ascii="Arial" w:hAnsi="Arial" w:cs="Arial"/>
                              </w:rPr>
                            </w:pPr>
                          </w:p>
                        </w:txbxContent>
                      </wps:txbx>
                      <wps:bodyPr rot="0" vert="horz" wrap="square" lIns="91440" tIns="91440" rIns="91440" bIns="9144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2.7pt;height:27.1pt;margin-top:12.6pt;margin-left:373.55pt;mso-height-percent:0;mso-height-relative:margin;mso-width-percent:0;mso-width-relative:margin;mso-wrap-distance-bottom:0;mso-wrap-distance-left:9pt;mso-wrap-distance-right:9pt;mso-wrap-distance-top:0;mso-wrap-style:square;position:absolute;visibility:visible;v-text-anchor:top;z-index:251661312" filled="f" stroked="f">
                <v:textbox inset=",7.2pt,,7.2pt">
                  <w:txbxContent>
                    <w:p w:rsidR="00EA1660" w:rsidRPr="00B66751" w:rsidP="00EA1660" w14:paraId="3190F080" w14:textId="77777777">
                      <w:pPr>
                        <w:rPr>
                          <w:rFonts w:ascii="Arial" w:hAnsi="Arial" w:cs="Arial"/>
                        </w:rPr>
                      </w:pPr>
                    </w:p>
                  </w:txbxContent>
                </v:textbox>
              </v:shape>
            </w:pict>
          </mc:Fallback>
        </mc:AlternateContent>
      </w:r>
      <w:r w:rsidR="00160AA7">
        <w:rPr>
          <w:noProof/>
        </w:rPr>
        <mc:AlternateContent>
          <mc:Choice Requires="wps">
            <w:drawing>
              <wp:anchor distT="0" distB="0" distL="114300" distR="114300" simplePos="0" relativeHeight="251658240" behindDoc="0" locked="0" layoutInCell="1" allowOverlap="1">
                <wp:simplePos x="0" y="0"/>
                <wp:positionH relativeFrom="column">
                  <wp:posOffset>908050</wp:posOffset>
                </wp:positionH>
                <wp:positionV relativeFrom="paragraph">
                  <wp:posOffset>160020</wp:posOffset>
                </wp:positionV>
                <wp:extent cx="2541270" cy="344170"/>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41270" cy="344170"/>
                        </a:xfrm>
                        <a:prstGeom prst="rect">
                          <a:avLst/>
                        </a:prstGeom>
                        <a:noFill/>
                        <a:ln w="9525">
                          <a:noFill/>
                          <a:miter lim="800000"/>
                          <a:headEnd/>
                          <a:tailEnd/>
                        </a:ln>
                      </wps:spPr>
                      <wps:txbx>
                        <w:txbxContent>
                          <w:p w:rsidR="00EA1660" w:rsidRPr="00B66751" w:rsidP="00EA1660" w14:textId="77777777">
                            <w:pPr>
                              <w:rPr>
                                <w:rFonts w:ascii="Arial" w:hAnsi="Arial" w:cs="Arial"/>
                              </w:rPr>
                            </w:pPr>
                          </w:p>
                        </w:txbxContent>
                      </wps:txbx>
                      <wps:bodyPr rot="0" vert="horz" wrap="square" lIns="91440" tIns="91440" rIns="91440" bIns="9144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200.1pt;height:27.1pt;margin-top:12.6pt;margin-left:71.5pt;mso-height-percent:0;mso-height-relative:margin;mso-width-percent:0;mso-width-relative:margin;mso-wrap-distance-bottom:0;mso-wrap-distance-left:9pt;mso-wrap-distance-right:9pt;mso-wrap-distance-top:0;mso-wrap-style:square;position:absolute;visibility:visible;v-text-anchor:top;z-index:251659264" filled="f" stroked="f">
                <v:textbox inset=",7.2pt,,7.2pt">
                  <w:txbxContent>
                    <w:p w:rsidR="00EA1660" w:rsidRPr="00B66751" w:rsidP="00EA1660" w14:paraId="30EF4A0A" w14:textId="77777777">
                      <w:pPr>
                        <w:rPr>
                          <w:rFonts w:ascii="Arial" w:hAnsi="Arial" w:cs="Arial"/>
                        </w:rPr>
                      </w:pPr>
                    </w:p>
                  </w:txbxContent>
                </v:textbox>
              </v:shape>
            </w:pict>
          </mc:Fallback>
        </mc:AlternateContent>
      </w:r>
    </w:p>
    <w:p w:rsidR="00616868" w:rsidP="0021247A" w14:paraId="69A6C5FB" w14:textId="77777777">
      <w:pPr>
        <w:pStyle w:val="BodyText"/>
        <w:jc w:val="both"/>
        <w:rPr>
          <w:b/>
          <w:sz w:val="28"/>
          <w:szCs w:val="28"/>
        </w:rPr>
      </w:pPr>
      <w:r>
        <w:rPr>
          <w:b/>
          <w:sz w:val="28"/>
          <w:szCs w:val="28"/>
        </w:rPr>
        <w:t>A procedural outline for establishing urban renewal areas and TIF Districts</w:t>
      </w:r>
    </w:p>
    <w:p w:rsidR="00616868" w:rsidP="0021247A" w14:paraId="3E061CB4" w14:textId="2C04A6AF">
      <w:pPr>
        <w:pStyle w:val="BodyText"/>
        <w:numPr>
          <w:ilvl w:val="0"/>
          <w:numId w:val="3"/>
        </w:numPr>
        <w:jc w:val="both"/>
      </w:pPr>
      <w:r>
        <w:t>Identify</w:t>
      </w:r>
      <w:r w:rsidR="00EB5AB0">
        <w:t xml:space="preserve"> the</w:t>
      </w:r>
      <w:r>
        <w:t xml:space="preserve"> foundational need (Slum or Blight Alleviation, Economic Development).</w:t>
      </w:r>
    </w:p>
    <w:p w:rsidR="00616868" w:rsidP="0021247A" w14:paraId="0B87FC29" w14:textId="77C925C0">
      <w:pPr>
        <w:pStyle w:val="BodyText"/>
        <w:numPr>
          <w:ilvl w:val="0"/>
          <w:numId w:val="3"/>
        </w:numPr>
        <w:jc w:val="both"/>
      </w:pPr>
      <w:r w:rsidRPr="0047593A">
        <w:t>Identify urban renewal projects</w:t>
      </w:r>
      <w:r>
        <w:t>.</w:t>
      </w:r>
    </w:p>
    <w:p w:rsidR="00616868" w:rsidP="0021247A" w14:paraId="7AE17168" w14:textId="77777777">
      <w:pPr>
        <w:pStyle w:val="BodyText"/>
        <w:numPr>
          <w:ilvl w:val="0"/>
          <w:numId w:val="3"/>
        </w:numPr>
        <w:jc w:val="both"/>
      </w:pPr>
      <w:r w:rsidRPr="0047593A">
        <w:t>Prepare an urban renewal plan.</w:t>
      </w:r>
    </w:p>
    <w:p w:rsidR="00616868" w:rsidP="0021247A" w14:paraId="35C88BAF" w14:textId="77777777">
      <w:pPr>
        <w:pStyle w:val="BodyText"/>
        <w:numPr>
          <w:ilvl w:val="0"/>
          <w:numId w:val="3"/>
        </w:numPr>
        <w:jc w:val="both"/>
      </w:pPr>
      <w:r>
        <w:t>Governing body</w:t>
      </w:r>
      <w:r w:rsidRPr="0047593A">
        <w:t xml:space="preserve"> action setting date for public hearing on urban renewal plan and area</w:t>
      </w:r>
      <w:r>
        <w:t>.</w:t>
      </w:r>
    </w:p>
    <w:p w:rsidR="00616868" w:rsidP="0021247A" w14:paraId="69A37770" w14:textId="77777777">
      <w:pPr>
        <w:pStyle w:val="BodyText"/>
        <w:numPr>
          <w:ilvl w:val="0"/>
          <w:numId w:val="3"/>
        </w:numPr>
        <w:jc w:val="both"/>
      </w:pPr>
      <w:r w:rsidRPr="0047593A">
        <w:t>Publication of notice of hearing not less than 4 and not more than 20 days in advance of appointed hearing date.</w:t>
      </w:r>
    </w:p>
    <w:p w:rsidR="00616868" w:rsidP="0021247A" w14:paraId="3F29ECBD" w14:textId="77777777">
      <w:pPr>
        <w:pStyle w:val="BodyText"/>
        <w:numPr>
          <w:ilvl w:val="0"/>
          <w:numId w:val="3"/>
        </w:numPr>
        <w:jc w:val="both"/>
      </w:pPr>
      <w:r w:rsidRPr="0047593A">
        <w:t xml:space="preserve">Urban renewal plan submitted to and considered by planning and zoning commission for conformity with comprehensive plan of the </w:t>
      </w:r>
      <w:r>
        <w:t>municipality</w:t>
      </w:r>
      <w:r w:rsidRPr="0047593A">
        <w:t>.  No additional hearing, no veto, just review and comment by no later than appointed public hearing date and time.</w:t>
      </w:r>
    </w:p>
    <w:p w:rsidR="00616868" w:rsidP="0021247A" w14:paraId="466BDB76" w14:textId="77777777">
      <w:pPr>
        <w:pStyle w:val="BodyText"/>
        <w:numPr>
          <w:ilvl w:val="0"/>
          <w:numId w:val="3"/>
        </w:numPr>
        <w:jc w:val="both"/>
      </w:pPr>
      <w:r w:rsidRPr="0047593A">
        <w:t xml:space="preserve">Urban renewal plan, public hearing notice and invitation letter mailed to </w:t>
      </w:r>
      <w:r>
        <w:t>affected taxing entities</w:t>
      </w:r>
      <w:r w:rsidRPr="0047593A">
        <w:t xml:space="preserve"> announcing “consultation session” for them to attend.  If possible</w:t>
      </w:r>
      <w:r>
        <w:t>,</w:t>
      </w:r>
      <w:r w:rsidRPr="0047593A">
        <w:t xml:space="preserve"> mail notice one week prior to “consultation session.”</w:t>
      </w:r>
    </w:p>
    <w:p w:rsidR="00616868" w:rsidP="0021247A" w14:paraId="32CF1EAD" w14:textId="77777777">
      <w:pPr>
        <w:pStyle w:val="BodyText"/>
        <w:numPr>
          <w:ilvl w:val="0"/>
          <w:numId w:val="3"/>
        </w:numPr>
        <w:jc w:val="both"/>
      </w:pPr>
      <w:r w:rsidRPr="0047593A">
        <w:t>Hold consultation session at least two weeks in advance of date appointed for public hearing.  Session does not have to be held at a meeting</w:t>
      </w:r>
      <w:r>
        <w:t xml:space="preserve"> of the governing body</w:t>
      </w:r>
      <w:r w:rsidRPr="0047593A">
        <w:t xml:space="preserve">.  </w:t>
      </w:r>
      <w:r>
        <w:t>Affected taxing entities</w:t>
      </w:r>
      <w:r w:rsidRPr="0047593A">
        <w:t xml:space="preserve"> may comment in writing and expect a written response, but there is no veto authority.</w:t>
      </w:r>
    </w:p>
    <w:p w:rsidR="00616868" w:rsidP="0021247A" w14:paraId="4ED8A066" w14:textId="77777777">
      <w:pPr>
        <w:pStyle w:val="BodyText"/>
        <w:numPr>
          <w:ilvl w:val="0"/>
          <w:numId w:val="3"/>
        </w:numPr>
        <w:jc w:val="both"/>
      </w:pPr>
      <w:r w:rsidRPr="0047593A">
        <w:t>Is “agricultural land” being included in the urban renewal area?  If yes, consent to include such property must be received from the property owner prior to the public hearing on the urban renewal plan.</w:t>
      </w:r>
    </w:p>
    <w:p w:rsidR="00616868" w:rsidP="0021247A" w14:paraId="678E42D1" w14:textId="6A54D47F">
      <w:pPr>
        <w:pStyle w:val="BodyText"/>
        <w:numPr>
          <w:ilvl w:val="0"/>
          <w:numId w:val="3"/>
        </w:numPr>
        <w:jc w:val="both"/>
      </w:pPr>
      <w:r>
        <w:t xml:space="preserve"> </w:t>
      </w:r>
      <w:r w:rsidR="0021247A">
        <w:t>City obt</w:t>
      </w:r>
      <w:r>
        <w:t>ains</w:t>
      </w:r>
      <w:r w:rsidR="0021247A">
        <w:t xml:space="preserve"> necessary consent from county; county contain necessary consent from cities.</w:t>
      </w:r>
    </w:p>
    <w:p w:rsidR="00616868" w:rsidP="0021247A" w14:paraId="57A63CFE" w14:textId="48C4AFA6">
      <w:pPr>
        <w:pStyle w:val="BodyText"/>
        <w:numPr>
          <w:ilvl w:val="0"/>
          <w:numId w:val="3"/>
        </w:numPr>
        <w:jc w:val="both"/>
      </w:pPr>
      <w:r>
        <w:t xml:space="preserve"> </w:t>
      </w:r>
      <w:r w:rsidRPr="0047593A">
        <w:t>Conduct the public hearing at the appointed date and time.</w:t>
      </w:r>
    </w:p>
    <w:p w:rsidR="00616868" w:rsidP="0021247A" w14:paraId="1F7EB9C9" w14:textId="3C934B6C">
      <w:pPr>
        <w:pStyle w:val="BodyText"/>
        <w:numPr>
          <w:ilvl w:val="0"/>
          <w:numId w:val="3"/>
        </w:numPr>
        <w:jc w:val="both"/>
      </w:pPr>
      <w:r>
        <w:t xml:space="preserve"> </w:t>
      </w:r>
      <w:r w:rsidRPr="0047593A">
        <w:t>Adopt a resolution setting foundation, approving the urban renewal plan and establishing the urban renewal area.</w:t>
      </w:r>
    </w:p>
    <w:p w:rsidR="00616868" w:rsidRPr="00054EF4" w:rsidP="0021247A" w14:paraId="5BAA21DE" w14:textId="79C13916">
      <w:pPr>
        <w:pStyle w:val="BodyText"/>
        <w:numPr>
          <w:ilvl w:val="0"/>
          <w:numId w:val="3"/>
        </w:numPr>
        <w:jc w:val="both"/>
      </w:pPr>
      <w:r>
        <w:t xml:space="preserve"> </w:t>
      </w:r>
      <w:r w:rsidRPr="0047593A">
        <w:t xml:space="preserve">Adopt an ordinance establishing part or all of </w:t>
      </w:r>
      <w:r w:rsidR="00EB5AB0">
        <w:t xml:space="preserve">the </w:t>
      </w:r>
      <w:r w:rsidRPr="0047593A">
        <w:t>urban renewal area as a tax increment financing district.</w:t>
      </w:r>
    </w:p>
    <w:p w:rsidR="00616868" w:rsidRPr="00083550" w:rsidP="00616868" w14:paraId="28E2374A" w14:textId="77777777">
      <w:pPr>
        <w:rPr>
          <w:b/>
          <w:sz w:val="32"/>
          <w:szCs w:val="32"/>
          <w:u w:val="single"/>
        </w:rPr>
      </w:pPr>
    </w:p>
    <w:p w:rsidR="00616868" w14:paraId="096FCC1B" w14:textId="77777777">
      <w:pPr>
        <w:rPr>
          <w:b/>
          <w:sz w:val="20"/>
          <w:szCs w:val="24"/>
        </w:rPr>
      </w:pPr>
      <w:r>
        <w:rPr>
          <w:b/>
          <w:sz w:val="20"/>
        </w:rPr>
        <w:br w:type="page"/>
      </w:r>
    </w:p>
    <w:p w:rsidR="00D07252" w:rsidP="00D07252" w14:paraId="20F5E075" w14:textId="77777777">
      <w:pPr>
        <w:pStyle w:val="BodyText"/>
        <w:rPr>
          <w:sz w:val="28"/>
          <w:szCs w:val="28"/>
        </w:rPr>
      </w:pPr>
      <w:r>
        <w:rPr>
          <w:sz w:val="28"/>
          <w:szCs w:val="28"/>
        </w:rPr>
        <w:t>TIF Incentives for Private Development</w:t>
      </w:r>
    </w:p>
    <w:p w:rsidR="00D07252" w:rsidP="00D07252" w14:paraId="13B0A845" w14:textId="77777777">
      <w:pPr>
        <w:pStyle w:val="BodyText"/>
        <w:spacing w:after="0"/>
      </w:pPr>
      <w:r>
        <w:tab/>
        <w:t>A) Understand the Scope of the Project</w:t>
      </w:r>
    </w:p>
    <w:p w:rsidR="00D07252" w:rsidP="00D07252" w14:paraId="7B3428A5" w14:textId="77777777">
      <w:pPr>
        <w:pStyle w:val="BodyText"/>
        <w:numPr>
          <w:ilvl w:val="0"/>
          <w:numId w:val="17"/>
        </w:numPr>
        <w:spacing w:after="0"/>
        <w:ind w:left="1440"/>
      </w:pPr>
      <w:r>
        <w:t>New construction or redevelopment</w:t>
      </w:r>
    </w:p>
    <w:p w:rsidR="00D07252" w:rsidP="00D07252" w14:paraId="1B082A05" w14:textId="77777777">
      <w:pPr>
        <w:pStyle w:val="BodyText"/>
        <w:numPr>
          <w:ilvl w:val="0"/>
          <w:numId w:val="17"/>
        </w:numPr>
        <w:spacing w:after="0"/>
        <w:ind w:left="1440"/>
      </w:pPr>
      <w:r>
        <w:t>Infrastructure construction</w:t>
      </w:r>
    </w:p>
    <w:p w:rsidR="00D07252" w:rsidP="00D07252" w14:paraId="2340C0D5" w14:textId="77777777">
      <w:pPr>
        <w:pStyle w:val="BodyText"/>
        <w:numPr>
          <w:ilvl w:val="0"/>
          <w:numId w:val="17"/>
        </w:numPr>
        <w:spacing w:after="0"/>
        <w:ind w:left="1440"/>
      </w:pPr>
      <w:r>
        <w:t>Job creation</w:t>
      </w:r>
    </w:p>
    <w:p w:rsidR="00D07252" w:rsidP="00D07252" w14:paraId="06327C01" w14:textId="77777777">
      <w:pPr>
        <w:pStyle w:val="BodyText"/>
        <w:numPr>
          <w:ilvl w:val="0"/>
          <w:numId w:val="17"/>
        </w:numPr>
        <w:spacing w:after="0"/>
        <w:ind w:left="1440"/>
      </w:pPr>
      <w:r>
        <w:t>Developer’s costs</w:t>
      </w:r>
    </w:p>
    <w:p w:rsidR="00D07252" w:rsidP="00D07252" w14:paraId="59CBF6EC" w14:textId="77777777">
      <w:pPr>
        <w:pStyle w:val="BodyText"/>
        <w:spacing w:after="0"/>
      </w:pPr>
      <w:r>
        <w:tab/>
        <w:t>B) Determine the Appropriate Incentive</w:t>
      </w:r>
    </w:p>
    <w:p w:rsidR="00D07252" w:rsidP="00D07252" w14:paraId="00CC9D4C" w14:textId="77777777">
      <w:pPr>
        <w:pStyle w:val="BodyText"/>
        <w:numPr>
          <w:ilvl w:val="0"/>
          <w:numId w:val="18"/>
        </w:numPr>
        <w:spacing w:after="0"/>
        <w:ind w:left="1440"/>
      </w:pPr>
      <w:r>
        <w:t>Require the Developer to request specific incentive(s)</w:t>
      </w:r>
    </w:p>
    <w:p w:rsidR="00D07252" w:rsidP="00D07252" w14:paraId="44BB0CC1" w14:textId="77777777">
      <w:pPr>
        <w:pStyle w:val="BodyText"/>
        <w:numPr>
          <w:ilvl w:val="0"/>
          <w:numId w:val="19"/>
        </w:numPr>
        <w:spacing w:after="0"/>
        <w:ind w:left="1800"/>
      </w:pPr>
      <w:r>
        <w:t>Cash contributions</w:t>
      </w:r>
    </w:p>
    <w:p w:rsidR="00D07252" w:rsidP="00D07252" w14:paraId="56E51F08" w14:textId="77777777">
      <w:pPr>
        <w:pStyle w:val="BodyText"/>
        <w:numPr>
          <w:ilvl w:val="0"/>
          <w:numId w:val="20"/>
        </w:numPr>
        <w:spacing w:after="0"/>
        <w:ind w:left="2160"/>
      </w:pPr>
      <w:r>
        <w:t>Grant</w:t>
      </w:r>
    </w:p>
    <w:p w:rsidR="00D07252" w:rsidP="00D07252" w14:paraId="2EE44FD2" w14:textId="77777777">
      <w:pPr>
        <w:pStyle w:val="BodyText"/>
        <w:numPr>
          <w:ilvl w:val="0"/>
          <w:numId w:val="20"/>
        </w:numPr>
        <w:spacing w:after="0"/>
        <w:ind w:left="2160"/>
      </w:pPr>
      <w:r>
        <w:t>Loan</w:t>
      </w:r>
    </w:p>
    <w:p w:rsidR="00D07252" w:rsidP="00D07252" w14:paraId="07D703EF" w14:textId="77777777">
      <w:pPr>
        <w:pStyle w:val="BodyText"/>
        <w:numPr>
          <w:ilvl w:val="0"/>
          <w:numId w:val="20"/>
        </w:numPr>
        <w:spacing w:after="0"/>
        <w:ind w:left="2160"/>
      </w:pPr>
      <w:r>
        <w:t>Forgivable Loan</w:t>
      </w:r>
    </w:p>
    <w:p w:rsidR="00D07252" w:rsidP="00D07252" w14:paraId="5EBE96BA" w14:textId="77777777">
      <w:pPr>
        <w:pStyle w:val="BodyText"/>
        <w:numPr>
          <w:ilvl w:val="0"/>
          <w:numId w:val="19"/>
        </w:numPr>
        <w:spacing w:after="0"/>
        <w:ind w:left="1800"/>
      </w:pPr>
      <w:r>
        <w:t>TIF rebate payments</w:t>
      </w:r>
    </w:p>
    <w:p w:rsidR="00D07252" w:rsidP="00D07252" w14:paraId="50A95288" w14:textId="77777777">
      <w:pPr>
        <w:pStyle w:val="BodyText"/>
        <w:numPr>
          <w:ilvl w:val="0"/>
          <w:numId w:val="19"/>
        </w:numPr>
        <w:spacing w:after="0"/>
        <w:ind w:left="1800"/>
      </w:pPr>
      <w:r>
        <w:t>Infrastructure construction</w:t>
      </w:r>
    </w:p>
    <w:p w:rsidR="00D07252" w:rsidP="00D07252" w14:paraId="0AD01A01" w14:textId="77777777">
      <w:pPr>
        <w:pStyle w:val="BodyText"/>
        <w:numPr>
          <w:ilvl w:val="0"/>
          <w:numId w:val="19"/>
        </w:numPr>
        <w:spacing w:after="0"/>
        <w:ind w:left="1800"/>
      </w:pPr>
      <w:r>
        <w:t>Real property considerations</w:t>
      </w:r>
    </w:p>
    <w:p w:rsidR="00D07252" w:rsidP="00D07252" w14:paraId="6C824FBC" w14:textId="77777777">
      <w:pPr>
        <w:pStyle w:val="BodyText"/>
        <w:numPr>
          <w:ilvl w:val="0"/>
          <w:numId w:val="18"/>
        </w:numPr>
        <w:spacing w:after="0"/>
        <w:ind w:left="1440"/>
      </w:pPr>
      <w:r>
        <w:t>Analyze risk to the municipality</w:t>
      </w:r>
    </w:p>
    <w:p w:rsidR="00D07252" w:rsidP="00D07252" w14:paraId="5E39C20D" w14:textId="77777777">
      <w:pPr>
        <w:pStyle w:val="BodyText"/>
        <w:numPr>
          <w:ilvl w:val="0"/>
          <w:numId w:val="18"/>
        </w:numPr>
        <w:spacing w:after="0"/>
        <w:ind w:left="1440"/>
      </w:pPr>
      <w:r>
        <w:t>Evaluate</w:t>
      </w:r>
      <w:r>
        <w:t xml:space="preserve"> the limitations of the municipality in providing certain incentives</w:t>
      </w:r>
    </w:p>
    <w:p w:rsidR="00D07252" w:rsidP="00D07252" w14:paraId="68D65625" w14:textId="77777777">
      <w:pPr>
        <w:pStyle w:val="BodyText"/>
        <w:numPr>
          <w:ilvl w:val="0"/>
          <w:numId w:val="22"/>
        </w:numPr>
        <w:spacing w:after="0"/>
        <w:ind w:left="1800"/>
      </w:pPr>
      <w:r>
        <w:t>Time constraints on TIF collections</w:t>
      </w:r>
    </w:p>
    <w:p w:rsidR="00D07252" w:rsidP="00D07252" w14:paraId="01B3B917" w14:textId="77777777">
      <w:pPr>
        <w:pStyle w:val="BodyText"/>
        <w:numPr>
          <w:ilvl w:val="0"/>
          <w:numId w:val="22"/>
        </w:numPr>
        <w:spacing w:after="0"/>
        <w:ind w:left="1800"/>
      </w:pPr>
      <w:r>
        <w:t>Limitations and requirements for housing projects</w:t>
      </w:r>
    </w:p>
    <w:p w:rsidR="00D07252" w:rsidP="00D07252" w14:paraId="66D04D31" w14:textId="77777777">
      <w:pPr>
        <w:pStyle w:val="BodyText"/>
        <w:numPr>
          <w:ilvl w:val="0"/>
          <w:numId w:val="22"/>
        </w:numPr>
        <w:spacing w:after="0"/>
        <w:ind w:left="1800"/>
      </w:pPr>
      <w:r>
        <w:t>Business relocations</w:t>
      </w:r>
    </w:p>
    <w:p w:rsidR="00D07252" w:rsidP="00D07252" w14:paraId="602E4697" w14:textId="77777777">
      <w:pPr>
        <w:pStyle w:val="BodyText"/>
        <w:numPr>
          <w:ilvl w:val="0"/>
          <w:numId w:val="22"/>
        </w:numPr>
        <w:spacing w:after="0"/>
        <w:ind w:left="1800"/>
      </w:pPr>
      <w:r>
        <w:t>Constitutional debt limit</w:t>
      </w:r>
    </w:p>
    <w:p w:rsidR="00D07252" w:rsidP="00D07252" w14:paraId="6A56EE03" w14:textId="77777777">
      <w:pPr>
        <w:pStyle w:val="BodyText"/>
        <w:numPr>
          <w:ilvl w:val="0"/>
          <w:numId w:val="22"/>
        </w:numPr>
        <w:spacing w:after="0"/>
        <w:ind w:left="1800"/>
      </w:pPr>
      <w:r>
        <w:t>Political</w:t>
      </w:r>
    </w:p>
    <w:p w:rsidR="00D07252" w:rsidP="00D07252" w14:paraId="23F5DD28" w14:textId="77777777">
      <w:pPr>
        <w:pStyle w:val="BodyText"/>
        <w:numPr>
          <w:ilvl w:val="0"/>
          <w:numId w:val="22"/>
        </w:numPr>
        <w:spacing w:after="0"/>
        <w:ind w:left="1800"/>
      </w:pPr>
      <w:r>
        <w:t>Municipality’s TIF policy</w:t>
      </w:r>
    </w:p>
    <w:p w:rsidR="00D07252" w:rsidP="00D07252" w14:paraId="2A3208DF" w14:textId="77777777">
      <w:pPr>
        <w:pStyle w:val="BodyText"/>
        <w:spacing w:after="0"/>
      </w:pPr>
      <w:r>
        <w:tab/>
        <w:t>C) Prepare a Development Agreement</w:t>
      </w:r>
    </w:p>
    <w:p w:rsidR="00D07252" w:rsidP="00D07252" w14:paraId="5C8B1579" w14:textId="77777777">
      <w:pPr>
        <w:pStyle w:val="BodyText"/>
        <w:numPr>
          <w:ilvl w:val="0"/>
          <w:numId w:val="21"/>
        </w:numPr>
        <w:spacing w:after="0"/>
        <w:ind w:left="1440"/>
      </w:pPr>
      <w:r>
        <w:t>Identify the obligations of the Developer and the Municipality</w:t>
      </w:r>
    </w:p>
    <w:p w:rsidR="00D07252" w:rsidP="00D07252" w14:paraId="5EC3A137" w14:textId="77777777">
      <w:pPr>
        <w:pStyle w:val="BodyText"/>
        <w:numPr>
          <w:ilvl w:val="0"/>
          <w:numId w:val="21"/>
        </w:numPr>
        <w:spacing w:after="0"/>
        <w:ind w:left="1440"/>
      </w:pPr>
      <w:r>
        <w:t>Identify risk management tools</w:t>
      </w:r>
    </w:p>
    <w:p w:rsidR="00D07252" w:rsidP="00D07252" w14:paraId="120CA827" w14:textId="77777777">
      <w:pPr>
        <w:pStyle w:val="BodyText"/>
        <w:spacing w:after="0"/>
      </w:pPr>
      <w:r>
        <w:tab/>
        <w:t>D) Determine the Appropriate Procedural Steps</w:t>
      </w:r>
    </w:p>
    <w:p w:rsidR="00454398" w14:paraId="0A9BAC99" w14:textId="3209B797">
      <w:pPr>
        <w:rPr>
          <w:b/>
          <w:sz w:val="20"/>
        </w:rPr>
      </w:pPr>
      <w:r>
        <w:rPr>
          <w:b/>
          <w:sz w:val="20"/>
        </w:rPr>
        <w:br w:type="page"/>
      </w:r>
    </w:p>
    <w:p w:rsidR="00454398" w:rsidRPr="00A21425" w:rsidP="00454398" w14:paraId="0054373C" w14:textId="77777777">
      <w:pPr>
        <w:pStyle w:val="BodyText"/>
        <w:ind w:left="360"/>
        <w:rPr>
          <w:b/>
          <w:sz w:val="22"/>
          <w:szCs w:val="22"/>
        </w:rPr>
      </w:pPr>
      <w:r w:rsidRPr="00A21425">
        <w:rPr>
          <w:b/>
          <w:sz w:val="22"/>
          <w:szCs w:val="22"/>
        </w:rPr>
        <w:t>TIF For Housing Rules to Remember</w:t>
      </w:r>
    </w:p>
    <w:p w:rsidR="00454398" w:rsidP="00454398" w14:paraId="39D7A1A2" w14:textId="4C10EEE2">
      <w:pPr>
        <w:pStyle w:val="BodyText"/>
        <w:numPr>
          <w:ilvl w:val="0"/>
          <w:numId w:val="23"/>
        </w:numPr>
        <w:rPr>
          <w:sz w:val="22"/>
          <w:szCs w:val="22"/>
        </w:rPr>
      </w:pPr>
      <w:r>
        <w:rPr>
          <w:sz w:val="22"/>
          <w:szCs w:val="22"/>
        </w:rPr>
        <w:t xml:space="preserve">If your project is in a slum or blight alleviation designated urban renewal area, then the terms of Section 403.22 do </w:t>
      </w:r>
      <w:r w:rsidRPr="001F72DD">
        <w:rPr>
          <w:sz w:val="22"/>
          <w:szCs w:val="22"/>
          <w:u w:val="single"/>
        </w:rPr>
        <w:t>not</w:t>
      </w:r>
      <w:r>
        <w:rPr>
          <w:sz w:val="22"/>
          <w:szCs w:val="22"/>
        </w:rPr>
        <w:t xml:space="preserve"> apply.</w:t>
      </w:r>
    </w:p>
    <w:p w:rsidR="00454398" w:rsidP="00454398" w14:paraId="2060A8F8" w14:textId="77777777">
      <w:pPr>
        <w:pStyle w:val="BodyText"/>
        <w:numPr>
          <w:ilvl w:val="0"/>
          <w:numId w:val="23"/>
        </w:numPr>
        <w:rPr>
          <w:sz w:val="22"/>
          <w:szCs w:val="22"/>
        </w:rPr>
      </w:pPr>
      <w:r>
        <w:rPr>
          <w:sz w:val="22"/>
          <w:szCs w:val="22"/>
        </w:rPr>
        <w:t xml:space="preserve"> If your project is in an economic development designated urban renewal area the terms of Section 403.22 </w:t>
      </w:r>
      <w:r>
        <w:rPr>
          <w:sz w:val="22"/>
          <w:szCs w:val="22"/>
          <w:u w:val="single"/>
        </w:rPr>
        <w:t>do</w:t>
      </w:r>
      <w:r>
        <w:rPr>
          <w:sz w:val="22"/>
          <w:szCs w:val="22"/>
        </w:rPr>
        <w:t xml:space="preserve"> apply.</w:t>
      </w:r>
    </w:p>
    <w:p w:rsidR="00454398" w:rsidP="00454398" w14:paraId="373EE964" w14:textId="77777777">
      <w:pPr>
        <w:pStyle w:val="BodyText"/>
        <w:numPr>
          <w:ilvl w:val="0"/>
          <w:numId w:val="24"/>
        </w:numPr>
        <w:rPr>
          <w:sz w:val="22"/>
          <w:szCs w:val="22"/>
        </w:rPr>
      </w:pPr>
      <w:r>
        <w:rPr>
          <w:sz w:val="22"/>
          <w:szCs w:val="22"/>
        </w:rPr>
        <w:t>Shortened TIF collection availability (11 years, unless 5-year extension approved by County, School District and Area College).</w:t>
      </w:r>
    </w:p>
    <w:p w:rsidR="00454398" w:rsidP="00454398" w14:paraId="038C7D1F" w14:textId="77777777">
      <w:pPr>
        <w:pStyle w:val="BodyText"/>
        <w:numPr>
          <w:ilvl w:val="0"/>
          <w:numId w:val="24"/>
        </w:numPr>
        <w:rPr>
          <w:sz w:val="22"/>
          <w:szCs w:val="22"/>
        </w:rPr>
      </w:pPr>
      <w:r>
        <w:rPr>
          <w:sz w:val="22"/>
          <w:szCs w:val="22"/>
        </w:rPr>
        <w:t>LMI set aside required.</w:t>
      </w:r>
    </w:p>
    <w:p w:rsidR="00454398" w:rsidP="00454398" w14:paraId="3FA8AEEE" w14:textId="77777777">
      <w:pPr>
        <w:pStyle w:val="BodyText"/>
        <w:numPr>
          <w:ilvl w:val="0"/>
          <w:numId w:val="25"/>
        </w:numPr>
        <w:rPr>
          <w:sz w:val="22"/>
          <w:szCs w:val="22"/>
        </w:rPr>
      </w:pPr>
      <w:r>
        <w:rPr>
          <w:sz w:val="22"/>
          <w:szCs w:val="22"/>
        </w:rPr>
        <w:t>Determine County specific percentage</w:t>
      </w:r>
    </w:p>
    <w:p w:rsidR="00454398" w:rsidP="00454398" w14:paraId="454BC1CB" w14:textId="77777777">
      <w:pPr>
        <w:pStyle w:val="BodyText"/>
        <w:numPr>
          <w:ilvl w:val="0"/>
          <w:numId w:val="25"/>
        </w:numPr>
        <w:rPr>
          <w:sz w:val="22"/>
          <w:szCs w:val="22"/>
        </w:rPr>
      </w:pPr>
      <w:r>
        <w:rPr>
          <w:sz w:val="22"/>
          <w:szCs w:val="22"/>
        </w:rPr>
        <w:t>Apply that percentage to the amount of TIF being used for urban renewal project cost</w:t>
      </w:r>
    </w:p>
    <w:p w:rsidR="00454398" w:rsidP="00454398" w14:paraId="065660B7" w14:textId="77777777">
      <w:pPr>
        <w:pStyle w:val="BodyText"/>
        <w:numPr>
          <w:ilvl w:val="0"/>
          <w:numId w:val="25"/>
        </w:numPr>
        <w:rPr>
          <w:sz w:val="22"/>
          <w:szCs w:val="22"/>
        </w:rPr>
      </w:pPr>
      <w:r>
        <w:rPr>
          <w:sz w:val="22"/>
          <w:szCs w:val="22"/>
        </w:rPr>
        <w:t>Resulting figure is the aggregate amount of LMI funds to be set aside</w:t>
      </w:r>
    </w:p>
    <w:p w:rsidR="00454398" w:rsidP="00454398" w14:paraId="3AC90966" w14:textId="77777777">
      <w:pPr>
        <w:pStyle w:val="BodyText"/>
        <w:numPr>
          <w:ilvl w:val="0"/>
          <w:numId w:val="25"/>
        </w:numPr>
        <w:rPr>
          <w:sz w:val="22"/>
          <w:szCs w:val="22"/>
        </w:rPr>
      </w:pPr>
      <w:r>
        <w:rPr>
          <w:sz w:val="22"/>
          <w:szCs w:val="22"/>
        </w:rPr>
        <w:t>Determine if City will set aside LMI funds year by year or up front</w:t>
      </w:r>
    </w:p>
    <w:p w:rsidR="00454398" w:rsidP="00454398" w14:paraId="4D7A5B61" w14:textId="77777777">
      <w:pPr>
        <w:pStyle w:val="BodyText"/>
        <w:numPr>
          <w:ilvl w:val="0"/>
          <w:numId w:val="25"/>
        </w:numPr>
        <w:rPr>
          <w:sz w:val="22"/>
          <w:szCs w:val="22"/>
        </w:rPr>
      </w:pPr>
      <w:r>
        <w:rPr>
          <w:sz w:val="22"/>
          <w:szCs w:val="22"/>
        </w:rPr>
        <w:t>Determine if application for relief will be made to Iowa Economic Development Authority</w:t>
      </w:r>
    </w:p>
    <w:p w:rsidR="00454398" w:rsidP="00454398" w14:paraId="6A108375" w14:textId="77777777">
      <w:pPr>
        <w:pStyle w:val="BodyText"/>
        <w:numPr>
          <w:ilvl w:val="0"/>
          <w:numId w:val="24"/>
        </w:numPr>
        <w:rPr>
          <w:sz w:val="22"/>
          <w:szCs w:val="22"/>
        </w:rPr>
      </w:pPr>
      <w:r>
        <w:rPr>
          <w:sz w:val="22"/>
          <w:szCs w:val="22"/>
        </w:rPr>
        <w:t>Uses of LMI Set Aside Funds – Anywhere in City’s Area of Operation</w:t>
      </w:r>
    </w:p>
    <w:p w:rsidR="00454398" w:rsidP="00454398" w14:paraId="16901CF0" w14:textId="77777777">
      <w:pPr>
        <w:pStyle w:val="BodyText"/>
        <w:numPr>
          <w:ilvl w:val="0"/>
          <w:numId w:val="25"/>
        </w:numPr>
        <w:rPr>
          <w:sz w:val="22"/>
          <w:szCs w:val="22"/>
        </w:rPr>
      </w:pPr>
      <w:r>
        <w:rPr>
          <w:sz w:val="22"/>
          <w:szCs w:val="22"/>
        </w:rPr>
        <w:t>Down payment assistance</w:t>
      </w:r>
    </w:p>
    <w:p w:rsidR="00454398" w:rsidP="00454398" w14:paraId="31B2D936" w14:textId="77777777">
      <w:pPr>
        <w:pStyle w:val="BodyText"/>
        <w:numPr>
          <w:ilvl w:val="0"/>
          <w:numId w:val="25"/>
        </w:numPr>
        <w:rPr>
          <w:sz w:val="22"/>
          <w:szCs w:val="22"/>
        </w:rPr>
      </w:pPr>
      <w:r>
        <w:rPr>
          <w:sz w:val="22"/>
          <w:szCs w:val="22"/>
        </w:rPr>
        <w:t>Rental assistance</w:t>
      </w:r>
    </w:p>
    <w:p w:rsidR="00454398" w:rsidP="00454398" w14:paraId="3543C509" w14:textId="77777777">
      <w:pPr>
        <w:pStyle w:val="BodyText"/>
        <w:numPr>
          <w:ilvl w:val="0"/>
          <w:numId w:val="25"/>
        </w:numPr>
        <w:rPr>
          <w:sz w:val="22"/>
          <w:szCs w:val="22"/>
        </w:rPr>
      </w:pPr>
      <w:r>
        <w:rPr>
          <w:sz w:val="22"/>
          <w:szCs w:val="22"/>
        </w:rPr>
        <w:t>Habitat for Humanity Home construction</w:t>
      </w:r>
    </w:p>
    <w:p w:rsidR="00454398" w:rsidP="00454398" w14:paraId="03EAAAA3" w14:textId="77777777">
      <w:pPr>
        <w:pStyle w:val="BodyText"/>
        <w:numPr>
          <w:ilvl w:val="0"/>
          <w:numId w:val="25"/>
        </w:numPr>
        <w:rPr>
          <w:sz w:val="22"/>
          <w:szCs w:val="22"/>
        </w:rPr>
      </w:pPr>
      <w:r>
        <w:rPr>
          <w:sz w:val="22"/>
          <w:szCs w:val="22"/>
        </w:rPr>
        <w:t>Support of local housing trust or non-profit</w:t>
      </w:r>
    </w:p>
    <w:p w:rsidR="00454398" w:rsidP="00454398" w14:paraId="5CA0E3D0" w14:textId="77777777">
      <w:pPr>
        <w:pStyle w:val="BodyText"/>
        <w:numPr>
          <w:ilvl w:val="0"/>
          <w:numId w:val="25"/>
        </w:numPr>
        <w:rPr>
          <w:sz w:val="22"/>
          <w:szCs w:val="22"/>
        </w:rPr>
      </w:pPr>
      <w:r>
        <w:rPr>
          <w:sz w:val="22"/>
          <w:szCs w:val="22"/>
        </w:rPr>
        <w:t>Support of tax credit housing development or any other affordable housing construction</w:t>
      </w:r>
    </w:p>
    <w:p w:rsidR="00454398" w:rsidP="00454398" w14:paraId="23509009" w14:textId="77777777">
      <w:pPr>
        <w:pStyle w:val="BodyText"/>
        <w:numPr>
          <w:ilvl w:val="0"/>
          <w:numId w:val="25"/>
        </w:numPr>
        <w:rPr>
          <w:sz w:val="22"/>
          <w:szCs w:val="22"/>
        </w:rPr>
      </w:pPr>
      <w:r>
        <w:rPr>
          <w:sz w:val="22"/>
          <w:szCs w:val="22"/>
        </w:rPr>
        <w:t>Limited infrastructure applications</w:t>
      </w:r>
    </w:p>
    <w:p w:rsidR="00454398" w:rsidP="00454398" w14:paraId="64B26B34" w14:textId="77777777">
      <w:pPr>
        <w:pStyle w:val="BodyText"/>
        <w:numPr>
          <w:ilvl w:val="0"/>
          <w:numId w:val="25"/>
        </w:numPr>
        <w:rPr>
          <w:sz w:val="22"/>
          <w:szCs w:val="22"/>
        </w:rPr>
      </w:pPr>
      <w:r>
        <w:rPr>
          <w:sz w:val="22"/>
          <w:szCs w:val="22"/>
        </w:rPr>
        <w:t>No time limit</w:t>
      </w:r>
    </w:p>
    <w:p w:rsidR="00454398" w:rsidP="00454398" w14:paraId="2BC7A41A" w14:textId="77777777">
      <w:pPr>
        <w:pStyle w:val="BodyText"/>
        <w:numPr>
          <w:ilvl w:val="0"/>
          <w:numId w:val="25"/>
        </w:numPr>
        <w:rPr>
          <w:sz w:val="22"/>
          <w:szCs w:val="22"/>
        </w:rPr>
      </w:pPr>
      <w:r>
        <w:rPr>
          <w:sz w:val="22"/>
          <w:szCs w:val="22"/>
        </w:rPr>
        <w:t>Other creative ideas that demonstrably assist people of low and moderate income with their housing needs</w:t>
      </w:r>
    </w:p>
    <w:p w:rsidR="00454398" w:rsidRPr="001F72DD" w:rsidP="00454398" w14:paraId="24EF36BD" w14:textId="77777777">
      <w:pPr>
        <w:pStyle w:val="BodyText"/>
        <w:ind w:left="1440"/>
        <w:rPr>
          <w:sz w:val="22"/>
          <w:szCs w:val="22"/>
        </w:rPr>
      </w:pPr>
    </w:p>
    <w:p w:rsidR="00D07252" w14:paraId="0167A5E7" w14:textId="77777777">
      <w:pPr>
        <w:rPr>
          <w:b/>
          <w:sz w:val="20"/>
          <w:szCs w:val="24"/>
        </w:rPr>
      </w:pPr>
    </w:p>
    <w:p w:rsidR="00454398" w14:paraId="1139278D" w14:textId="23D4A2D7">
      <w:pPr>
        <w:rPr>
          <w:b/>
          <w:sz w:val="20"/>
          <w:szCs w:val="24"/>
        </w:rPr>
      </w:pPr>
      <w:r>
        <w:rPr>
          <w:b/>
          <w:sz w:val="20"/>
        </w:rPr>
        <w:br w:type="page"/>
      </w:r>
    </w:p>
    <w:p w:rsidR="00C25F77" w:rsidP="00C25F77" w14:paraId="3321A7EB" w14:textId="77777777">
      <w:pPr>
        <w:pStyle w:val="BodyText"/>
        <w:rPr>
          <w:b/>
          <w:sz w:val="32"/>
          <w:szCs w:val="32"/>
        </w:rPr>
      </w:pPr>
      <w:r w:rsidRPr="00DE45AD">
        <w:rPr>
          <w:b/>
          <w:sz w:val="32"/>
          <w:szCs w:val="32"/>
        </w:rPr>
        <w:t>Property Tax Exemption (Abatement) Benefits In Iowa</w:t>
      </w:r>
      <w:r w:rsidRPr="00DE45AD">
        <w:rPr>
          <w:b/>
          <w:sz w:val="32"/>
          <w:szCs w:val="32"/>
        </w:rPr>
        <w:br/>
        <w:t>by Assessment Classification</w:t>
      </w: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7"/>
        <w:gridCol w:w="2662"/>
        <w:gridCol w:w="2386"/>
        <w:gridCol w:w="2044"/>
        <w:gridCol w:w="1862"/>
      </w:tblGrid>
      <w:tr w14:paraId="5A0100F4" w14:textId="77777777" w:rsidTr="00FE1DBC">
        <w:tblPrEx>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9"/>
          <w:jc w:val="center"/>
        </w:trPr>
        <w:tc>
          <w:tcPr>
            <w:tcW w:w="1787" w:type="dxa"/>
            <w:shd w:val="clear" w:color="auto" w:fill="auto"/>
          </w:tcPr>
          <w:p w:rsidR="00C25F77" w:rsidRPr="001E3183" w:rsidP="004272AE" w14:paraId="2D33B83E" w14:textId="77777777">
            <w:pPr>
              <w:pStyle w:val="BodyText"/>
              <w:rPr>
                <w:b/>
                <w:sz w:val="20"/>
                <w:szCs w:val="20"/>
              </w:rPr>
            </w:pPr>
            <w:r w:rsidRPr="001E3183">
              <w:rPr>
                <w:b/>
                <w:sz w:val="20"/>
                <w:szCs w:val="20"/>
              </w:rPr>
              <w:t>Classification/</w:t>
            </w:r>
            <w:r w:rsidRPr="001E3183">
              <w:rPr>
                <w:b/>
                <w:sz w:val="20"/>
                <w:szCs w:val="20"/>
              </w:rPr>
              <w:br/>
              <w:t>Source</w:t>
            </w:r>
          </w:p>
        </w:tc>
        <w:tc>
          <w:tcPr>
            <w:tcW w:w="2662" w:type="dxa"/>
            <w:shd w:val="clear" w:color="auto" w:fill="auto"/>
          </w:tcPr>
          <w:p w:rsidR="00C25F77" w:rsidRPr="001E3183" w:rsidP="004272AE" w14:paraId="342FDC25" w14:textId="77777777">
            <w:pPr>
              <w:pStyle w:val="BodyText"/>
              <w:rPr>
                <w:b/>
                <w:sz w:val="20"/>
                <w:szCs w:val="20"/>
              </w:rPr>
            </w:pPr>
            <w:r w:rsidRPr="001E3183">
              <w:rPr>
                <w:b/>
                <w:sz w:val="20"/>
                <w:szCs w:val="20"/>
              </w:rPr>
              <w:t>Industrial</w:t>
            </w:r>
          </w:p>
        </w:tc>
        <w:tc>
          <w:tcPr>
            <w:tcW w:w="2386" w:type="dxa"/>
            <w:shd w:val="clear" w:color="auto" w:fill="auto"/>
          </w:tcPr>
          <w:p w:rsidR="00C25F77" w:rsidRPr="001E3183" w:rsidP="004272AE" w14:paraId="2B1D4512" w14:textId="77777777">
            <w:pPr>
              <w:pStyle w:val="BodyText"/>
              <w:rPr>
                <w:b/>
                <w:sz w:val="20"/>
                <w:szCs w:val="20"/>
              </w:rPr>
            </w:pPr>
            <w:r w:rsidRPr="001E3183">
              <w:rPr>
                <w:b/>
                <w:sz w:val="20"/>
                <w:szCs w:val="20"/>
              </w:rPr>
              <w:t>Commercial</w:t>
            </w:r>
          </w:p>
        </w:tc>
        <w:tc>
          <w:tcPr>
            <w:tcW w:w="2044" w:type="dxa"/>
            <w:shd w:val="clear" w:color="auto" w:fill="auto"/>
          </w:tcPr>
          <w:p w:rsidR="00C25F77" w:rsidRPr="001E3183" w:rsidP="004272AE" w14:paraId="1CEF7DE9" w14:textId="77777777">
            <w:pPr>
              <w:pStyle w:val="BodyText"/>
              <w:rPr>
                <w:b/>
                <w:sz w:val="20"/>
                <w:szCs w:val="20"/>
              </w:rPr>
            </w:pPr>
            <w:r>
              <w:rPr>
                <w:b/>
                <w:sz w:val="20"/>
                <w:szCs w:val="20"/>
              </w:rPr>
              <w:t>Residential (Multifamily)</w:t>
            </w:r>
          </w:p>
        </w:tc>
        <w:tc>
          <w:tcPr>
            <w:tcW w:w="1862" w:type="dxa"/>
            <w:shd w:val="clear" w:color="auto" w:fill="auto"/>
          </w:tcPr>
          <w:p w:rsidR="00C25F77" w:rsidRPr="001E3183" w:rsidP="004272AE" w14:paraId="2ABE1A3B" w14:textId="77777777">
            <w:pPr>
              <w:pStyle w:val="BodyText"/>
              <w:rPr>
                <w:b/>
                <w:sz w:val="20"/>
                <w:szCs w:val="20"/>
              </w:rPr>
            </w:pPr>
            <w:r w:rsidRPr="001E3183">
              <w:rPr>
                <w:b/>
                <w:sz w:val="20"/>
                <w:szCs w:val="20"/>
              </w:rPr>
              <w:t>Residential</w:t>
            </w:r>
            <w:r>
              <w:rPr>
                <w:b/>
                <w:sz w:val="20"/>
                <w:szCs w:val="20"/>
              </w:rPr>
              <w:t xml:space="preserve"> (Single </w:t>
            </w:r>
            <w:r w:rsidR="00FE1DBC">
              <w:rPr>
                <w:b/>
                <w:sz w:val="20"/>
                <w:szCs w:val="20"/>
              </w:rPr>
              <w:t>Family</w:t>
            </w:r>
            <w:r>
              <w:rPr>
                <w:b/>
                <w:sz w:val="20"/>
                <w:szCs w:val="20"/>
              </w:rPr>
              <w:t>)</w:t>
            </w:r>
          </w:p>
        </w:tc>
      </w:tr>
      <w:tr w14:paraId="4E28A349" w14:textId="77777777" w:rsidTr="00FE1DBC">
        <w:tblPrEx>
          <w:tblW w:w="10741" w:type="dxa"/>
          <w:jc w:val="center"/>
          <w:tblLayout w:type="fixed"/>
          <w:tblLook w:val="04A0"/>
        </w:tblPrEx>
        <w:trPr>
          <w:trHeight w:val="924"/>
          <w:jc w:val="center"/>
        </w:trPr>
        <w:tc>
          <w:tcPr>
            <w:tcW w:w="1787" w:type="dxa"/>
            <w:shd w:val="clear" w:color="auto" w:fill="auto"/>
          </w:tcPr>
          <w:p w:rsidR="00C25F77" w:rsidRPr="001E3183" w:rsidP="004272AE" w14:paraId="738E8154" w14:textId="1DBD5D76">
            <w:pPr>
              <w:pStyle w:val="BodyText"/>
              <w:rPr>
                <w:sz w:val="20"/>
                <w:szCs w:val="20"/>
              </w:rPr>
            </w:pPr>
            <w:r w:rsidRPr="001E3183">
              <w:rPr>
                <w:sz w:val="20"/>
                <w:szCs w:val="20"/>
              </w:rPr>
              <w:t>Chapter 404 E</w:t>
            </w:r>
            <w:r w:rsidR="00EB5AB0">
              <w:rPr>
                <w:sz w:val="20"/>
                <w:szCs w:val="20"/>
              </w:rPr>
              <w:t xml:space="preserve">conomic </w:t>
            </w:r>
            <w:r w:rsidRPr="001E3183">
              <w:rPr>
                <w:sz w:val="20"/>
                <w:szCs w:val="20"/>
              </w:rPr>
              <w:t>Dev</w:t>
            </w:r>
            <w:r w:rsidR="00EB5AB0">
              <w:rPr>
                <w:sz w:val="20"/>
                <w:szCs w:val="20"/>
              </w:rPr>
              <w:t>elopment</w:t>
            </w:r>
          </w:p>
        </w:tc>
        <w:tc>
          <w:tcPr>
            <w:tcW w:w="2662" w:type="dxa"/>
            <w:shd w:val="clear" w:color="auto" w:fill="auto"/>
          </w:tcPr>
          <w:p w:rsidR="00C25F77" w:rsidRPr="001E3183" w:rsidP="004272AE" w14:paraId="3D047AE9" w14:textId="77777777">
            <w:pPr>
              <w:pStyle w:val="BodyText"/>
              <w:rPr>
                <w:sz w:val="20"/>
                <w:szCs w:val="20"/>
              </w:rPr>
            </w:pPr>
            <w:r w:rsidRPr="001E3183">
              <w:rPr>
                <w:sz w:val="20"/>
                <w:szCs w:val="20"/>
              </w:rPr>
              <w:t>3 year 100% or 10 year* sliding scale</w:t>
            </w:r>
          </w:p>
        </w:tc>
        <w:tc>
          <w:tcPr>
            <w:tcW w:w="2386" w:type="dxa"/>
            <w:shd w:val="clear" w:color="auto" w:fill="auto"/>
          </w:tcPr>
          <w:p w:rsidR="00C25F77" w:rsidRPr="001E3183" w:rsidP="004272AE" w14:paraId="6FEC1F2C" w14:textId="77777777">
            <w:pPr>
              <w:pStyle w:val="BodyText"/>
              <w:rPr>
                <w:sz w:val="20"/>
                <w:szCs w:val="20"/>
              </w:rPr>
            </w:pPr>
            <w:r w:rsidRPr="001E3183">
              <w:rPr>
                <w:sz w:val="20"/>
                <w:szCs w:val="20"/>
              </w:rPr>
              <w:t>3 year 100% or 10 year* sliding scale</w:t>
            </w:r>
          </w:p>
        </w:tc>
        <w:tc>
          <w:tcPr>
            <w:tcW w:w="2044" w:type="dxa"/>
            <w:shd w:val="clear" w:color="auto" w:fill="auto"/>
          </w:tcPr>
          <w:p w:rsidR="00C25F77" w:rsidRPr="001E3183" w:rsidP="004272AE" w14:paraId="5074D5B7" w14:textId="7FAC5B8B">
            <w:pPr>
              <w:pStyle w:val="BodyText"/>
              <w:rPr>
                <w:sz w:val="20"/>
                <w:szCs w:val="20"/>
              </w:rPr>
            </w:pPr>
            <w:r w:rsidRPr="001E3183">
              <w:rPr>
                <w:sz w:val="20"/>
                <w:szCs w:val="20"/>
              </w:rPr>
              <w:t>10</w:t>
            </w:r>
            <w:r w:rsidR="00EB5AB0">
              <w:rPr>
                <w:sz w:val="20"/>
                <w:szCs w:val="20"/>
              </w:rPr>
              <w:t>-</w:t>
            </w:r>
            <w:r w:rsidRPr="001E3183">
              <w:rPr>
                <w:sz w:val="20"/>
                <w:szCs w:val="20"/>
              </w:rPr>
              <w:t>year 100%</w:t>
            </w:r>
          </w:p>
        </w:tc>
        <w:tc>
          <w:tcPr>
            <w:tcW w:w="1862" w:type="dxa"/>
            <w:shd w:val="clear" w:color="auto" w:fill="auto"/>
          </w:tcPr>
          <w:p w:rsidR="00C25F77" w:rsidRPr="001E3183" w:rsidP="004272AE" w14:paraId="2D37BBB4" w14:textId="77777777">
            <w:pPr>
              <w:pStyle w:val="BodyText"/>
              <w:rPr>
                <w:sz w:val="20"/>
                <w:szCs w:val="20"/>
              </w:rPr>
            </w:pPr>
            <w:r w:rsidRPr="001E3183">
              <w:rPr>
                <w:sz w:val="20"/>
                <w:szCs w:val="20"/>
              </w:rPr>
              <w:t>5 year 100% but only on the first $75,000 of new value</w:t>
            </w:r>
          </w:p>
        </w:tc>
      </w:tr>
      <w:tr w14:paraId="36115A1C" w14:textId="77777777" w:rsidTr="00FE1DBC">
        <w:tblPrEx>
          <w:tblW w:w="10741" w:type="dxa"/>
          <w:jc w:val="center"/>
          <w:tblLayout w:type="fixed"/>
          <w:tblLook w:val="04A0"/>
        </w:tblPrEx>
        <w:trPr>
          <w:trHeight w:val="691"/>
          <w:jc w:val="center"/>
        </w:trPr>
        <w:tc>
          <w:tcPr>
            <w:tcW w:w="1787" w:type="dxa"/>
            <w:shd w:val="clear" w:color="auto" w:fill="auto"/>
          </w:tcPr>
          <w:p w:rsidR="00C25F77" w:rsidRPr="001E3183" w:rsidP="004272AE" w14:paraId="080CF885" w14:textId="77777777">
            <w:pPr>
              <w:pStyle w:val="BodyText"/>
              <w:rPr>
                <w:sz w:val="20"/>
                <w:szCs w:val="20"/>
              </w:rPr>
            </w:pPr>
            <w:r w:rsidRPr="001E3183">
              <w:rPr>
                <w:sz w:val="20"/>
                <w:szCs w:val="20"/>
              </w:rPr>
              <w:t>Chapter 404 Blight/Historic</w:t>
            </w:r>
          </w:p>
        </w:tc>
        <w:tc>
          <w:tcPr>
            <w:tcW w:w="2662" w:type="dxa"/>
            <w:shd w:val="clear" w:color="auto" w:fill="auto"/>
          </w:tcPr>
          <w:p w:rsidR="00C25F77" w:rsidRPr="001E3183" w:rsidP="004272AE" w14:paraId="74A6C75A" w14:textId="77777777">
            <w:pPr>
              <w:pStyle w:val="BodyText"/>
              <w:rPr>
                <w:sz w:val="20"/>
                <w:szCs w:val="20"/>
              </w:rPr>
            </w:pPr>
            <w:r w:rsidRPr="001E3183">
              <w:rPr>
                <w:sz w:val="20"/>
                <w:szCs w:val="20"/>
              </w:rPr>
              <w:t>3 year 100% or 10 year* sliding scale</w:t>
            </w:r>
          </w:p>
        </w:tc>
        <w:tc>
          <w:tcPr>
            <w:tcW w:w="2386" w:type="dxa"/>
            <w:shd w:val="clear" w:color="auto" w:fill="auto"/>
          </w:tcPr>
          <w:p w:rsidR="00C25F77" w:rsidRPr="001E3183" w:rsidP="004272AE" w14:paraId="3D3ABB03" w14:textId="77777777">
            <w:pPr>
              <w:pStyle w:val="BodyText"/>
              <w:rPr>
                <w:sz w:val="20"/>
                <w:szCs w:val="20"/>
              </w:rPr>
            </w:pPr>
            <w:r w:rsidRPr="001E3183">
              <w:rPr>
                <w:sz w:val="20"/>
                <w:szCs w:val="20"/>
              </w:rPr>
              <w:t>3 year 100% or 10 year* sliding scale</w:t>
            </w:r>
          </w:p>
        </w:tc>
        <w:tc>
          <w:tcPr>
            <w:tcW w:w="2044" w:type="dxa"/>
            <w:shd w:val="clear" w:color="auto" w:fill="auto"/>
          </w:tcPr>
          <w:p w:rsidR="00C25F77" w:rsidRPr="001E3183" w:rsidP="004272AE" w14:paraId="11252A8C" w14:textId="5BBD1A9B">
            <w:pPr>
              <w:pStyle w:val="BodyText"/>
              <w:rPr>
                <w:sz w:val="20"/>
                <w:szCs w:val="20"/>
              </w:rPr>
            </w:pPr>
            <w:r w:rsidRPr="001E3183">
              <w:rPr>
                <w:sz w:val="20"/>
                <w:szCs w:val="20"/>
              </w:rPr>
              <w:t>10</w:t>
            </w:r>
            <w:r w:rsidR="00EB5AB0">
              <w:rPr>
                <w:sz w:val="20"/>
                <w:szCs w:val="20"/>
              </w:rPr>
              <w:t>-</w:t>
            </w:r>
            <w:r w:rsidRPr="001E3183">
              <w:rPr>
                <w:sz w:val="20"/>
                <w:szCs w:val="20"/>
              </w:rPr>
              <w:t>year 100%</w:t>
            </w:r>
          </w:p>
        </w:tc>
        <w:tc>
          <w:tcPr>
            <w:tcW w:w="1862" w:type="dxa"/>
            <w:shd w:val="clear" w:color="auto" w:fill="auto"/>
          </w:tcPr>
          <w:p w:rsidR="00C25F77" w:rsidRPr="001E3183" w:rsidP="004272AE" w14:paraId="59DE0923" w14:textId="5F9FA5A2">
            <w:pPr>
              <w:pStyle w:val="BodyText"/>
              <w:rPr>
                <w:sz w:val="20"/>
                <w:szCs w:val="20"/>
              </w:rPr>
            </w:pPr>
            <w:r w:rsidRPr="001E3183">
              <w:rPr>
                <w:sz w:val="20"/>
                <w:szCs w:val="20"/>
              </w:rPr>
              <w:t>10-year</w:t>
            </w:r>
            <w:r w:rsidRPr="001E3183">
              <w:rPr>
                <w:sz w:val="20"/>
                <w:szCs w:val="20"/>
              </w:rPr>
              <w:t xml:space="preserve"> 100%</w:t>
            </w:r>
          </w:p>
        </w:tc>
      </w:tr>
      <w:tr w14:paraId="34940402" w14:textId="77777777" w:rsidTr="00FE1DBC">
        <w:tblPrEx>
          <w:tblW w:w="10741" w:type="dxa"/>
          <w:jc w:val="center"/>
          <w:tblLayout w:type="fixed"/>
          <w:tblLook w:val="04A0"/>
        </w:tblPrEx>
        <w:trPr>
          <w:trHeight w:val="699"/>
          <w:jc w:val="center"/>
        </w:trPr>
        <w:tc>
          <w:tcPr>
            <w:tcW w:w="1787" w:type="dxa"/>
            <w:shd w:val="clear" w:color="auto" w:fill="auto"/>
          </w:tcPr>
          <w:p w:rsidR="00C25F77" w:rsidRPr="001E3183" w:rsidP="004272AE" w14:paraId="52BAA835" w14:textId="77777777">
            <w:pPr>
              <w:pStyle w:val="BodyText"/>
              <w:rPr>
                <w:sz w:val="20"/>
                <w:szCs w:val="20"/>
              </w:rPr>
            </w:pPr>
            <w:r w:rsidRPr="001E3183">
              <w:rPr>
                <w:sz w:val="20"/>
                <w:szCs w:val="20"/>
              </w:rPr>
              <w:t>Chapter 427B</w:t>
            </w:r>
          </w:p>
        </w:tc>
        <w:tc>
          <w:tcPr>
            <w:tcW w:w="2662" w:type="dxa"/>
            <w:shd w:val="clear" w:color="auto" w:fill="auto"/>
          </w:tcPr>
          <w:p w:rsidR="00C25F77" w:rsidRPr="001E3183" w:rsidP="004272AE" w14:paraId="5DD3D065" w14:textId="77777777">
            <w:pPr>
              <w:pStyle w:val="BodyText"/>
              <w:rPr>
                <w:sz w:val="20"/>
                <w:szCs w:val="20"/>
              </w:rPr>
            </w:pPr>
            <w:r w:rsidRPr="001E3183">
              <w:rPr>
                <w:sz w:val="20"/>
                <w:szCs w:val="20"/>
              </w:rPr>
              <w:t>5 year** sliding scale</w:t>
            </w:r>
          </w:p>
        </w:tc>
        <w:tc>
          <w:tcPr>
            <w:tcW w:w="2386" w:type="dxa"/>
            <w:shd w:val="clear" w:color="auto" w:fill="auto"/>
          </w:tcPr>
          <w:p w:rsidR="00C25F77" w:rsidRPr="001E3183" w:rsidP="004272AE" w14:paraId="21EE960C" w14:textId="79A047A9">
            <w:pPr>
              <w:pStyle w:val="BodyText"/>
              <w:rPr>
                <w:sz w:val="20"/>
                <w:szCs w:val="20"/>
              </w:rPr>
            </w:pPr>
            <w:r w:rsidRPr="001E3183">
              <w:rPr>
                <w:sz w:val="20"/>
                <w:szCs w:val="20"/>
              </w:rPr>
              <w:t>(Warehousing/Distribution C</w:t>
            </w:r>
            <w:r w:rsidR="00EB5AB0">
              <w:rPr>
                <w:sz w:val="20"/>
                <w:szCs w:val="20"/>
              </w:rPr>
              <w:t>enters</w:t>
            </w:r>
            <w:r w:rsidRPr="001E3183">
              <w:rPr>
                <w:sz w:val="20"/>
                <w:szCs w:val="20"/>
              </w:rPr>
              <w:t xml:space="preserve"> only) 5 year** sliding scale</w:t>
            </w:r>
          </w:p>
        </w:tc>
        <w:tc>
          <w:tcPr>
            <w:tcW w:w="2044" w:type="dxa"/>
            <w:shd w:val="clear" w:color="auto" w:fill="auto"/>
          </w:tcPr>
          <w:p w:rsidR="00C25F77" w:rsidRPr="001E3183" w:rsidP="004272AE" w14:paraId="58FF1EA7" w14:textId="77777777">
            <w:pPr>
              <w:pStyle w:val="BodyText"/>
              <w:rPr>
                <w:sz w:val="20"/>
                <w:szCs w:val="20"/>
              </w:rPr>
            </w:pPr>
            <w:r w:rsidRPr="001E3183">
              <w:rPr>
                <w:sz w:val="20"/>
                <w:szCs w:val="20"/>
              </w:rPr>
              <w:t>N/A</w:t>
            </w:r>
          </w:p>
        </w:tc>
        <w:tc>
          <w:tcPr>
            <w:tcW w:w="1862" w:type="dxa"/>
            <w:shd w:val="clear" w:color="auto" w:fill="auto"/>
          </w:tcPr>
          <w:p w:rsidR="00C25F77" w:rsidRPr="001E3183" w:rsidP="004272AE" w14:paraId="4E47D3C5" w14:textId="77777777">
            <w:pPr>
              <w:pStyle w:val="BodyText"/>
              <w:rPr>
                <w:sz w:val="20"/>
                <w:szCs w:val="20"/>
              </w:rPr>
            </w:pPr>
            <w:r w:rsidRPr="001E3183">
              <w:rPr>
                <w:sz w:val="20"/>
                <w:szCs w:val="20"/>
              </w:rPr>
              <w:t>N/A</w:t>
            </w:r>
          </w:p>
        </w:tc>
      </w:tr>
      <w:tr w14:paraId="64EC2375" w14:textId="77777777" w:rsidTr="00FE1DBC">
        <w:tblPrEx>
          <w:tblW w:w="10741" w:type="dxa"/>
          <w:jc w:val="center"/>
          <w:tblLayout w:type="fixed"/>
          <w:tblLook w:val="04A0"/>
        </w:tblPrEx>
        <w:trPr>
          <w:trHeight w:val="699"/>
          <w:jc w:val="center"/>
        </w:trPr>
        <w:tc>
          <w:tcPr>
            <w:tcW w:w="1787" w:type="dxa"/>
            <w:shd w:val="clear" w:color="auto" w:fill="auto"/>
          </w:tcPr>
          <w:p w:rsidR="00C25F77" w:rsidRPr="001E3183" w:rsidP="004272AE" w14:paraId="2D6A9998" w14:textId="77777777">
            <w:pPr>
              <w:pStyle w:val="BodyText"/>
              <w:rPr>
                <w:sz w:val="20"/>
                <w:szCs w:val="20"/>
              </w:rPr>
            </w:pPr>
            <w:r w:rsidRPr="001E3183">
              <w:rPr>
                <w:sz w:val="20"/>
                <w:szCs w:val="20"/>
              </w:rPr>
              <w:t>Chapter 15 HQJP</w:t>
            </w:r>
          </w:p>
        </w:tc>
        <w:tc>
          <w:tcPr>
            <w:tcW w:w="2662" w:type="dxa"/>
            <w:shd w:val="clear" w:color="auto" w:fill="auto"/>
          </w:tcPr>
          <w:p w:rsidR="00C25F77" w:rsidRPr="001E3183" w:rsidP="004272AE" w14:paraId="6D932007" w14:textId="77777777">
            <w:pPr>
              <w:pStyle w:val="BodyText"/>
              <w:rPr>
                <w:sz w:val="20"/>
                <w:szCs w:val="20"/>
              </w:rPr>
            </w:pPr>
            <w:r w:rsidRPr="001E3183">
              <w:rPr>
                <w:sz w:val="20"/>
                <w:szCs w:val="20"/>
              </w:rPr>
              <w:t>20 year 100% for IEDA approved projects</w:t>
            </w:r>
          </w:p>
        </w:tc>
        <w:tc>
          <w:tcPr>
            <w:tcW w:w="2386" w:type="dxa"/>
            <w:shd w:val="clear" w:color="auto" w:fill="auto"/>
          </w:tcPr>
          <w:p w:rsidR="00C25F77" w:rsidRPr="001E3183" w:rsidP="004272AE" w14:paraId="40409525" w14:textId="77777777">
            <w:pPr>
              <w:pStyle w:val="BodyText"/>
              <w:rPr>
                <w:sz w:val="20"/>
                <w:szCs w:val="20"/>
              </w:rPr>
            </w:pPr>
            <w:r w:rsidRPr="001E3183">
              <w:rPr>
                <w:sz w:val="20"/>
                <w:szCs w:val="20"/>
              </w:rPr>
              <w:t>20 year 100% for IEDA approved projects</w:t>
            </w:r>
          </w:p>
        </w:tc>
        <w:tc>
          <w:tcPr>
            <w:tcW w:w="2044" w:type="dxa"/>
            <w:shd w:val="clear" w:color="auto" w:fill="auto"/>
          </w:tcPr>
          <w:p w:rsidR="00C25F77" w:rsidRPr="001E3183" w:rsidP="004272AE" w14:paraId="08A675CD" w14:textId="77777777">
            <w:pPr>
              <w:pStyle w:val="BodyText"/>
              <w:rPr>
                <w:sz w:val="20"/>
                <w:szCs w:val="20"/>
              </w:rPr>
            </w:pPr>
            <w:r w:rsidRPr="001E3183">
              <w:rPr>
                <w:sz w:val="20"/>
                <w:szCs w:val="20"/>
              </w:rPr>
              <w:t>N/A</w:t>
            </w:r>
          </w:p>
        </w:tc>
        <w:tc>
          <w:tcPr>
            <w:tcW w:w="1862" w:type="dxa"/>
            <w:shd w:val="clear" w:color="auto" w:fill="auto"/>
          </w:tcPr>
          <w:p w:rsidR="00C25F77" w:rsidRPr="001E3183" w:rsidP="004272AE" w14:paraId="7501E647" w14:textId="77777777">
            <w:pPr>
              <w:pStyle w:val="BodyText"/>
              <w:rPr>
                <w:sz w:val="20"/>
                <w:szCs w:val="20"/>
              </w:rPr>
            </w:pPr>
            <w:r w:rsidRPr="001E3183">
              <w:rPr>
                <w:sz w:val="20"/>
                <w:szCs w:val="20"/>
              </w:rPr>
              <w:t>N/A</w:t>
            </w:r>
          </w:p>
        </w:tc>
      </w:tr>
      <w:tr w14:paraId="1FB07ED5" w14:textId="77777777" w:rsidTr="00FE1DBC">
        <w:tblPrEx>
          <w:tblW w:w="10741" w:type="dxa"/>
          <w:jc w:val="center"/>
          <w:tblLayout w:type="fixed"/>
          <w:tblLook w:val="04A0"/>
        </w:tblPrEx>
        <w:trPr>
          <w:trHeight w:val="699"/>
          <w:jc w:val="center"/>
        </w:trPr>
        <w:tc>
          <w:tcPr>
            <w:tcW w:w="1787" w:type="dxa"/>
            <w:shd w:val="clear" w:color="auto" w:fill="auto"/>
          </w:tcPr>
          <w:p w:rsidR="00C25F77" w:rsidRPr="001E3183" w:rsidP="004272AE" w14:paraId="52192E79" w14:textId="77777777">
            <w:pPr>
              <w:pStyle w:val="BodyText"/>
              <w:rPr>
                <w:sz w:val="20"/>
                <w:szCs w:val="20"/>
              </w:rPr>
            </w:pPr>
            <w:r w:rsidRPr="001E3183">
              <w:rPr>
                <w:sz w:val="20"/>
                <w:szCs w:val="20"/>
              </w:rPr>
              <w:t>Chapter 403</w:t>
            </w:r>
          </w:p>
        </w:tc>
        <w:tc>
          <w:tcPr>
            <w:tcW w:w="2662" w:type="dxa"/>
            <w:shd w:val="clear" w:color="auto" w:fill="auto"/>
          </w:tcPr>
          <w:p w:rsidR="00C25F77" w:rsidRPr="001E3183" w:rsidP="004272AE" w14:paraId="2B18B22C" w14:textId="77777777">
            <w:pPr>
              <w:pStyle w:val="BodyText"/>
              <w:rPr>
                <w:sz w:val="20"/>
                <w:szCs w:val="20"/>
              </w:rPr>
            </w:pPr>
            <w:r w:rsidRPr="001E3183">
              <w:rPr>
                <w:sz w:val="20"/>
                <w:szCs w:val="20"/>
              </w:rPr>
              <w:t>2 year 100% during construction</w:t>
            </w:r>
          </w:p>
        </w:tc>
        <w:tc>
          <w:tcPr>
            <w:tcW w:w="2386" w:type="dxa"/>
            <w:shd w:val="clear" w:color="auto" w:fill="auto"/>
          </w:tcPr>
          <w:p w:rsidR="00C25F77" w:rsidRPr="001E3183" w:rsidP="004272AE" w14:paraId="6D781022" w14:textId="77777777">
            <w:pPr>
              <w:pStyle w:val="BodyText"/>
              <w:rPr>
                <w:sz w:val="20"/>
                <w:szCs w:val="20"/>
              </w:rPr>
            </w:pPr>
            <w:r w:rsidRPr="001E3183">
              <w:rPr>
                <w:sz w:val="20"/>
                <w:szCs w:val="20"/>
              </w:rPr>
              <w:t>2 year 100% during construction</w:t>
            </w:r>
          </w:p>
        </w:tc>
        <w:tc>
          <w:tcPr>
            <w:tcW w:w="2044" w:type="dxa"/>
            <w:shd w:val="clear" w:color="auto" w:fill="auto"/>
          </w:tcPr>
          <w:p w:rsidR="00C25F77" w:rsidRPr="001E3183" w:rsidP="004272AE" w14:paraId="320FD380" w14:textId="77777777">
            <w:pPr>
              <w:pStyle w:val="BodyText"/>
              <w:rPr>
                <w:sz w:val="20"/>
                <w:szCs w:val="20"/>
              </w:rPr>
            </w:pPr>
            <w:r w:rsidRPr="001E3183">
              <w:rPr>
                <w:sz w:val="20"/>
                <w:szCs w:val="20"/>
              </w:rPr>
              <w:t>2 year 100% during construction</w:t>
            </w:r>
          </w:p>
        </w:tc>
        <w:tc>
          <w:tcPr>
            <w:tcW w:w="1862" w:type="dxa"/>
            <w:shd w:val="clear" w:color="auto" w:fill="auto"/>
          </w:tcPr>
          <w:p w:rsidR="00C25F77" w:rsidRPr="001E3183" w:rsidP="004272AE" w14:paraId="2431A5C0" w14:textId="77777777">
            <w:pPr>
              <w:pStyle w:val="BodyText"/>
              <w:rPr>
                <w:sz w:val="20"/>
                <w:szCs w:val="20"/>
              </w:rPr>
            </w:pPr>
            <w:r w:rsidRPr="001E3183">
              <w:rPr>
                <w:sz w:val="20"/>
                <w:szCs w:val="20"/>
              </w:rPr>
              <w:t>2 year 100% during construction</w:t>
            </w:r>
          </w:p>
        </w:tc>
      </w:tr>
    </w:tbl>
    <w:p w:rsidR="00C25F77" w:rsidRPr="00DE45AD" w:rsidP="00C25F77" w14:paraId="50FE812D" w14:textId="77777777">
      <w:pPr>
        <w:pStyle w:val="BodyText"/>
        <w:jc w:val="center"/>
        <w:rPr>
          <w:b/>
          <w:sz w:val="32"/>
          <w:szCs w:val="32"/>
        </w:rPr>
      </w:pPr>
    </w:p>
    <w:p w:rsidR="00C25F77" w:rsidRPr="00454398" w:rsidP="00C25F77" w14:paraId="4EAE8658" w14:textId="71E46516">
      <w:pPr>
        <w:pStyle w:val="BodyText"/>
        <w:ind w:left="360"/>
      </w:pPr>
      <w:r w:rsidRPr="00454398">
        <w:t xml:space="preserve">*The </w:t>
      </w:r>
      <w:r w:rsidRPr="00454398" w:rsidR="00EB5AB0">
        <w:t>10-year</w:t>
      </w:r>
      <w:r w:rsidRPr="00454398">
        <w:t xml:space="preserve"> sliding scale is based upon the following declining annual percentages: 80%, 70%, 60%, 50%, 40%,40%, 30%, 30%, 20%, 20%.</w:t>
      </w:r>
    </w:p>
    <w:p w:rsidR="004F72A1" w:rsidRPr="00454398" w:rsidP="004F72A1" w14:paraId="7C2A8BD6" w14:textId="3F466ED8">
      <w:pPr>
        <w:ind w:left="360"/>
        <w:rPr>
          <w:szCs w:val="24"/>
        </w:rPr>
      </w:pPr>
      <w:r w:rsidRPr="00454398">
        <w:rPr>
          <w:szCs w:val="24"/>
        </w:rPr>
        <w:t xml:space="preserve">**The </w:t>
      </w:r>
      <w:r w:rsidRPr="00454398" w:rsidR="00EB5AB0">
        <w:rPr>
          <w:szCs w:val="24"/>
        </w:rPr>
        <w:t>5-year</w:t>
      </w:r>
      <w:r w:rsidRPr="00454398">
        <w:rPr>
          <w:szCs w:val="24"/>
        </w:rPr>
        <w:t xml:space="preserve"> sliding scale is based upon the following declining annual percentages: 75%, 60%, 45%, 30%, 15%</w:t>
      </w:r>
    </w:p>
    <w:p w:rsidR="004F72A1" w:rsidRPr="00454398" w:rsidP="004F72A1" w14:paraId="1F4ADE9D" w14:textId="77777777">
      <w:pPr>
        <w:ind w:left="360"/>
        <w:rPr>
          <w:szCs w:val="24"/>
        </w:rPr>
      </w:pPr>
    </w:p>
    <w:p w:rsidR="00454398" w:rsidRPr="00454398" w:rsidP="004F72A1" w14:paraId="6D1FB885" w14:textId="3037472F">
      <w:pPr>
        <w:ind w:left="360"/>
        <w:rPr>
          <w:color w:val="000000"/>
          <w:szCs w:val="24"/>
        </w:rPr>
      </w:pPr>
      <w:r w:rsidRPr="00454398">
        <w:rPr>
          <w:color w:val="000000"/>
          <w:szCs w:val="24"/>
        </w:rPr>
        <w:t xml:space="preserve">*** </w:t>
      </w:r>
      <w:r w:rsidRPr="00454398">
        <w:rPr>
          <w:color w:val="000000"/>
          <w:szCs w:val="24"/>
        </w:rPr>
        <w:t>All</w:t>
      </w:r>
      <w:r w:rsidRPr="00454398">
        <w:rPr>
          <w:color w:val="000000"/>
          <w:szCs w:val="24"/>
        </w:rPr>
        <w:t xml:space="preserve"> commercial tax abatement applications under Chapter 404 must include a “minimum assessment agreement”</w:t>
      </w:r>
      <w:r w:rsidRPr="00454398">
        <w:rPr>
          <w:color w:val="000000"/>
          <w:szCs w:val="24"/>
        </w:rPr>
        <w:br/>
      </w:r>
      <w:r w:rsidRPr="00454398">
        <w:rPr>
          <w:color w:val="000000"/>
          <w:szCs w:val="24"/>
        </w:rPr>
        <w:br/>
        <w:t xml:space="preserve">**** </w:t>
      </w:r>
      <w:r w:rsidRPr="00454398">
        <w:rPr>
          <w:color w:val="000000"/>
          <w:szCs w:val="24"/>
        </w:rPr>
        <w:t>All</w:t>
      </w:r>
      <w:r w:rsidRPr="00454398">
        <w:rPr>
          <w:color w:val="000000"/>
          <w:szCs w:val="24"/>
        </w:rPr>
        <w:t xml:space="preserve"> school district property tax levies will be imposed and paid </w:t>
      </w:r>
      <w:r w:rsidRPr="00454398" w:rsidR="00BF2271">
        <w:rPr>
          <w:color w:val="000000"/>
          <w:szCs w:val="24"/>
        </w:rPr>
        <w:t>despite</w:t>
      </w:r>
      <w:r w:rsidRPr="00454398">
        <w:rPr>
          <w:color w:val="000000"/>
          <w:szCs w:val="24"/>
        </w:rPr>
        <w:t xml:space="preserve"> residential tax abatement under Chapter 404 </w:t>
      </w:r>
    </w:p>
    <w:p w:rsidR="00454398" w14:paraId="42DAF64A" w14:textId="77777777">
      <w:pPr>
        <w:rPr>
          <w:color w:val="000000"/>
          <w:szCs w:val="24"/>
        </w:rPr>
      </w:pPr>
      <w:r>
        <w:rPr>
          <w:color w:val="000000"/>
          <w:szCs w:val="24"/>
        </w:rPr>
        <w:br w:type="page"/>
      </w:r>
    </w:p>
    <w:p w:rsidR="00454398" w:rsidP="00454398" w14:paraId="5AAFB865" w14:textId="77777777">
      <w:pPr>
        <w:rPr>
          <w:sz w:val="40"/>
          <w:u w:val="single"/>
        </w:rPr>
      </w:pPr>
      <w:r>
        <w:rPr>
          <w:sz w:val="36"/>
          <w:u w:val="single"/>
        </w:rPr>
        <w:t xml:space="preserve">FINANCING </w:t>
      </w:r>
      <w:r>
        <w:rPr>
          <w:sz w:val="36"/>
          <w:szCs w:val="36"/>
          <w:u w:val="single"/>
        </w:rPr>
        <w:t>TIPS FOR CITIES</w:t>
      </w:r>
    </w:p>
    <w:p w:rsidR="00454398" w:rsidP="00454398" w14:paraId="2241D834" w14:textId="77777777">
      <w:pPr>
        <w:rPr>
          <w:sz w:val="40"/>
          <w:u w:val="single"/>
        </w:rPr>
      </w:pPr>
    </w:p>
    <w:p w:rsidR="00454398" w:rsidP="00454398" w14:paraId="531010BE" w14:textId="77777777">
      <w:pPr>
        <w:rPr>
          <w:sz w:val="36"/>
        </w:rPr>
      </w:pPr>
      <w:r>
        <w:rPr>
          <w:sz w:val="36"/>
        </w:rPr>
        <w:t>1) Understand your project(s) and the costs – create efficiencies</w:t>
      </w:r>
    </w:p>
    <w:p w:rsidR="00454398" w:rsidP="00454398" w14:paraId="2A5F184D" w14:textId="77777777">
      <w:pPr>
        <w:rPr>
          <w:sz w:val="36"/>
        </w:rPr>
      </w:pPr>
    </w:p>
    <w:p w:rsidR="00454398" w:rsidP="00454398" w14:paraId="1D33FC32" w14:textId="77777777">
      <w:pPr>
        <w:rPr>
          <w:sz w:val="36"/>
        </w:rPr>
      </w:pPr>
      <w:r>
        <w:rPr>
          <w:sz w:val="36"/>
        </w:rPr>
        <w:t>2) Municipal borrowing is not a “do it yourself at home” project</w:t>
      </w:r>
    </w:p>
    <w:p w:rsidR="00454398" w:rsidP="00454398" w14:paraId="6E5EC2CF" w14:textId="77777777">
      <w:pPr>
        <w:rPr>
          <w:sz w:val="36"/>
        </w:rPr>
      </w:pPr>
    </w:p>
    <w:p w:rsidR="00454398" w:rsidP="00454398" w14:paraId="44646554" w14:textId="77777777">
      <w:pPr>
        <w:jc w:val="both"/>
        <w:rPr>
          <w:sz w:val="36"/>
        </w:rPr>
      </w:pPr>
      <w:r>
        <w:rPr>
          <w:sz w:val="36"/>
        </w:rPr>
        <w:t>3) Find your professional friends – bond counsel, underwriters/financial advisors, city attorneys, bankers, consultants, etc.</w:t>
      </w:r>
    </w:p>
    <w:p w:rsidR="00454398" w:rsidP="00454398" w14:paraId="5A90112B" w14:textId="77777777">
      <w:pPr>
        <w:rPr>
          <w:sz w:val="36"/>
        </w:rPr>
      </w:pPr>
    </w:p>
    <w:p w:rsidR="00454398" w:rsidP="00454398" w14:paraId="63EF8DAA" w14:textId="347184CE">
      <w:pPr>
        <w:rPr>
          <w:sz w:val="36"/>
        </w:rPr>
      </w:pPr>
      <w:r>
        <w:rPr>
          <w:sz w:val="36"/>
        </w:rPr>
        <w:t>4) Whenever</w:t>
      </w:r>
      <w:r w:rsidR="00BF2271">
        <w:rPr>
          <w:sz w:val="36"/>
        </w:rPr>
        <w:t xml:space="preserve"> possible</w:t>
      </w:r>
      <w:r>
        <w:rPr>
          <w:sz w:val="36"/>
        </w:rPr>
        <w:t xml:space="preserve"> </w:t>
      </w:r>
      <w:r w:rsidR="00BF2271">
        <w:rPr>
          <w:sz w:val="36"/>
        </w:rPr>
        <w:t>use</w:t>
      </w:r>
      <w:r>
        <w:rPr>
          <w:sz w:val="36"/>
        </w:rPr>
        <w:t xml:space="preserve"> grant money!</w:t>
      </w:r>
    </w:p>
    <w:p w:rsidR="00454398" w:rsidP="00454398" w14:paraId="781A93F0" w14:textId="77777777">
      <w:pPr>
        <w:rPr>
          <w:sz w:val="36"/>
        </w:rPr>
      </w:pPr>
    </w:p>
    <w:p w:rsidR="00454398" w:rsidP="00454398" w14:paraId="2EAA4E95" w14:textId="77777777">
      <w:pPr>
        <w:rPr>
          <w:sz w:val="36"/>
        </w:rPr>
      </w:pPr>
      <w:r>
        <w:rPr>
          <w:sz w:val="36"/>
        </w:rPr>
        <w:t xml:space="preserve">5) Be </w:t>
      </w:r>
      <w:r>
        <w:rPr>
          <w:sz w:val="36"/>
          <w:u w:val="single"/>
        </w:rPr>
        <w:t>certain</w:t>
      </w:r>
      <w:r>
        <w:rPr>
          <w:sz w:val="36"/>
        </w:rPr>
        <w:t xml:space="preserve"> of how you will pay the loan back</w:t>
      </w:r>
    </w:p>
    <w:p w:rsidR="00454398" w:rsidP="00454398" w14:paraId="56956F49" w14:textId="77777777">
      <w:pPr>
        <w:rPr>
          <w:sz w:val="36"/>
        </w:rPr>
      </w:pPr>
    </w:p>
    <w:p w:rsidR="00454398" w:rsidP="00454398" w14:paraId="3DDB3676" w14:textId="77777777">
      <w:pPr>
        <w:rPr>
          <w:sz w:val="36"/>
        </w:rPr>
      </w:pPr>
      <w:r>
        <w:rPr>
          <w:sz w:val="36"/>
        </w:rPr>
        <w:t>6) Understand your loan – structure, repayment, collateral</w:t>
      </w:r>
    </w:p>
    <w:p w:rsidR="00454398" w:rsidP="00454398" w14:paraId="1DC518C6" w14:textId="77777777">
      <w:pPr>
        <w:rPr>
          <w:sz w:val="36"/>
        </w:rPr>
      </w:pPr>
    </w:p>
    <w:p w:rsidR="00454398" w:rsidP="00454398" w14:paraId="2D54177B" w14:textId="77777777">
      <w:pPr>
        <w:rPr>
          <w:sz w:val="36"/>
        </w:rPr>
      </w:pPr>
      <w:r>
        <w:rPr>
          <w:sz w:val="36"/>
        </w:rPr>
        <w:t>7) Understand how this loan will relate to existing City debt and budget</w:t>
      </w:r>
    </w:p>
    <w:p w:rsidR="00454398" w:rsidP="00454398" w14:paraId="0E15A254" w14:textId="77777777">
      <w:pPr>
        <w:rPr>
          <w:sz w:val="36"/>
        </w:rPr>
      </w:pPr>
    </w:p>
    <w:p w:rsidR="00454398" w:rsidP="00454398" w14:paraId="6F011F6B" w14:textId="77777777">
      <w:pPr>
        <w:rPr>
          <w:sz w:val="36"/>
        </w:rPr>
      </w:pPr>
      <w:r>
        <w:rPr>
          <w:sz w:val="36"/>
        </w:rPr>
        <w:t>8) Keep some debt capacity in reserve, please</w:t>
      </w:r>
    </w:p>
    <w:p w:rsidR="00454398" w:rsidP="00454398" w14:paraId="191F40D6" w14:textId="77777777">
      <w:pPr>
        <w:rPr>
          <w:sz w:val="36"/>
        </w:rPr>
      </w:pPr>
    </w:p>
    <w:p w:rsidR="00454398" w:rsidP="00454398" w14:paraId="5F071A0C" w14:textId="77777777">
      <w:pPr>
        <w:rPr>
          <w:sz w:val="36"/>
        </w:rPr>
      </w:pPr>
      <w:r>
        <w:rPr>
          <w:sz w:val="36"/>
        </w:rPr>
        <w:t>9) Follow the procedures to get AUTHORITY</w:t>
      </w:r>
    </w:p>
    <w:p w:rsidR="00454398" w:rsidP="00454398" w14:paraId="2E7F2310" w14:textId="77777777">
      <w:pPr>
        <w:rPr>
          <w:sz w:val="36"/>
        </w:rPr>
      </w:pPr>
    </w:p>
    <w:p w:rsidR="00454398" w:rsidP="00454398" w14:paraId="5E70FB72" w14:textId="77777777">
      <w:pPr>
        <w:rPr>
          <w:sz w:val="36"/>
        </w:rPr>
      </w:pPr>
      <w:r>
        <w:rPr>
          <w:sz w:val="36"/>
        </w:rPr>
        <w:t>10) Get the lowest possible interest rate</w:t>
      </w:r>
    </w:p>
    <w:p w:rsidR="00454398" w:rsidP="00454398" w14:paraId="2F6B2E10" w14:textId="77777777">
      <w:pPr>
        <w:rPr>
          <w:sz w:val="36"/>
        </w:rPr>
      </w:pPr>
      <w:r>
        <w:rPr>
          <w:sz w:val="36"/>
        </w:rPr>
        <w:tab/>
        <w:t>a) Pick your source of credit</w:t>
      </w:r>
    </w:p>
    <w:p w:rsidR="00454398" w:rsidP="00454398" w14:paraId="3DD2F9FF" w14:textId="77777777">
      <w:pPr>
        <w:rPr>
          <w:sz w:val="36"/>
        </w:rPr>
      </w:pPr>
      <w:r>
        <w:rPr>
          <w:sz w:val="36"/>
        </w:rPr>
        <w:tab/>
        <w:t>b) Issue tax-exempt obligations</w:t>
      </w:r>
    </w:p>
    <w:p w:rsidR="00454398" w:rsidP="00454398" w14:paraId="61CD91D6" w14:textId="77777777">
      <w:pPr>
        <w:rPr>
          <w:sz w:val="36"/>
        </w:rPr>
      </w:pPr>
    </w:p>
    <w:p w:rsidR="00454398" w:rsidP="00454398" w14:paraId="2660B5A8" w14:textId="77777777">
      <w:pPr>
        <w:rPr>
          <w:sz w:val="36"/>
        </w:rPr>
      </w:pPr>
      <w:r>
        <w:rPr>
          <w:sz w:val="36"/>
        </w:rPr>
        <w:t>11) Attend to disclosure issues if necessary</w:t>
      </w:r>
    </w:p>
    <w:p w:rsidR="00054EF4" w:rsidRPr="004F72A1" w:rsidP="004F72A1" w14:paraId="1E24412D" w14:textId="77777777">
      <w:pPr>
        <w:ind w:left="360"/>
        <w:rPr>
          <w:sz w:val="22"/>
          <w:szCs w:val="22"/>
        </w:rPr>
      </w:pPr>
    </w:p>
    <w:sectPr w:rsidSect="00C25F77">
      <w:footerReference w:type="even" r:id="rId7"/>
      <w:footerReference w:type="default" r:id="rId8"/>
      <w:footerReference w:type="first" r:id="rId9"/>
      <w:pgSz w:w="12240" w:h="15840" w:code="1"/>
      <w:pgMar w:top="1440" w:right="1440" w:bottom="1440" w:left="1440"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iDocIDFieldac29b8c5-9ea8-4e10-bd82-7d22"/>
  <w:p w:rsidR="00A31DB7" w14:paraId="289CA179" w14:textId="77777777">
    <w:pPr>
      <w:pStyle w:val="DocID"/>
    </w:pPr>
    <w:r>
      <w:fldChar w:fldCharType="begin"/>
    </w:r>
    <w:r>
      <w:instrText xml:space="preserve">  DOCPROPERTY "CUS_DocIDChunk0" </w:instrText>
    </w:r>
    <w:r>
      <w:fldChar w:fldCharType="separate"/>
    </w:r>
    <w:r>
      <w:rPr>
        <w:noProof/>
      </w:rPr>
      <w:t>4886-3392-8177\2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1DB7" w:rsidP="0028497B" w14:paraId="10909467" w14:textId="77777777">
    <w:pPr>
      <w:pStyle w:val="Footer"/>
      <w:pBdr>
        <w:top w:val="single" w:sz="4" w:space="1" w:color="D9D9D9"/>
      </w:pBdr>
      <w:jc w:val="right"/>
    </w:pPr>
    <w:r>
      <w:fldChar w:fldCharType="begin"/>
    </w:r>
    <w:r>
      <w:instrText xml:space="preserve"> PAGE   \* MERGEFORMAT </w:instrText>
    </w:r>
    <w:r>
      <w:fldChar w:fldCharType="separate"/>
    </w:r>
    <w:r>
      <w:t>1</w:t>
    </w:r>
    <w:r>
      <w:rPr>
        <w:noProof/>
      </w:rPr>
      <w:fldChar w:fldCharType="end"/>
    </w:r>
    <w:r>
      <w:t xml:space="preserve"> | </w:t>
    </w:r>
    <w:r w:rsidRPr="00054EF4">
      <w:rPr>
        <w:color w:val="808080"/>
        <w:spacing w:val="60"/>
      </w:rPr>
      <w:t>Page</w:t>
    </w:r>
  </w:p>
  <w:bookmarkStart w:id="1" w:name="_iDocIDField0d627adc-7d57-4f81-b2ef-a952"/>
  <w:p w:rsidR="00A31DB7" w14:paraId="1599F92E" w14:textId="77777777">
    <w:pPr>
      <w:pStyle w:val="DocID"/>
    </w:pPr>
    <w:r>
      <w:fldChar w:fldCharType="begin"/>
    </w:r>
    <w:r>
      <w:instrText xml:space="preserve">  DOCPROPERTY "CUS_DocIDChunk0" </w:instrText>
    </w:r>
    <w:r>
      <w:fldChar w:fldCharType="separate"/>
    </w:r>
    <w:r>
      <w:rPr>
        <w:noProof/>
      </w:rPr>
      <w:t>4886-3392-8177\2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iDocIDField1ea9c62e-8037-4845-b2e3-1afa"/>
  <w:p w:rsidR="00A31DB7" w14:paraId="082D3AB2" w14:textId="77777777">
    <w:pPr>
      <w:pStyle w:val="DocID"/>
    </w:pPr>
    <w:r>
      <w:fldChar w:fldCharType="begin"/>
    </w:r>
    <w:r>
      <w:instrText xml:space="preserve">  DOCPROPERTY "CUS_DocIDChunk0" </w:instrText>
    </w:r>
    <w:r>
      <w:fldChar w:fldCharType="separate"/>
    </w:r>
    <w:r>
      <w:rPr>
        <w:noProof/>
      </w:rPr>
      <w:t>4886-3392-8177\2</w:t>
    </w:r>
    <w:r>
      <w:fldChar w:fldCharType="end"/>
    </w:r>
    <w:bookmarkEnd w:id="2"/>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D4703"/>
    <w:multiLevelType w:val="hybridMultilevel"/>
    <w:tmpl w:val="1D80135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E3446"/>
    <w:multiLevelType w:val="hybridMultilevel"/>
    <w:tmpl w:val="CBC4C0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005611"/>
    <w:multiLevelType w:val="hybridMultilevel"/>
    <w:tmpl w:val="422E60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4B6E7C"/>
    <w:multiLevelType w:val="hybridMultilevel"/>
    <w:tmpl w:val="CA6037F2"/>
    <w:lvl w:ilvl="0">
      <w:start w:val="1"/>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ED24F7F"/>
    <w:multiLevelType w:val="hybridMultilevel"/>
    <w:tmpl w:val="B554CF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D60613"/>
    <w:multiLevelType w:val="hybridMultilevel"/>
    <w:tmpl w:val="6BAC45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03323A"/>
    <w:multiLevelType w:val="hybridMultilevel"/>
    <w:tmpl w:val="84C2A0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743F1D"/>
    <w:multiLevelType w:val="hybridMultilevel"/>
    <w:tmpl w:val="DE3EA8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1E6508"/>
    <w:multiLevelType w:val="hybridMultilevel"/>
    <w:tmpl w:val="590ED9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A53B18"/>
    <w:multiLevelType w:val="hybridMultilevel"/>
    <w:tmpl w:val="7F0209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985B5B"/>
    <w:multiLevelType w:val="hybridMultilevel"/>
    <w:tmpl w:val="0A2EDC5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347D6B5F"/>
    <w:multiLevelType w:val="multilevel"/>
    <w:tmpl w:val="BEC4E706"/>
    <w:lvl w:ilvl="0">
      <w:start w:val="1"/>
      <w:numFmt w:val="upperRoman"/>
      <w:pStyle w:val="Heading1"/>
      <w:lvlText w:val="%1."/>
      <w:lvlJc w:val="left"/>
      <w:pPr>
        <w:tabs>
          <w:tab w:val="num" w:pos="720"/>
        </w:tabs>
        <w:ind w:left="0" w:firstLine="0"/>
      </w:pPr>
      <w:rPr>
        <w:rFonts w:hint="default"/>
        <w:b w:val="0"/>
        <w:i w:val="0"/>
        <w:sz w:val="24"/>
      </w:rPr>
    </w:lvl>
    <w:lvl w:ilvl="1">
      <w:start w:val="1"/>
      <w:numFmt w:val="upperLetter"/>
      <w:pStyle w:val="Heading2"/>
      <w:lvlText w:val="%2."/>
      <w:lvlJc w:val="left"/>
      <w:pPr>
        <w:ind w:left="0" w:firstLine="720"/>
      </w:pPr>
      <w:rPr>
        <w:rFonts w:hint="default"/>
        <w:b w:val="0"/>
        <w:i w:val="0"/>
        <w:sz w:val="24"/>
      </w:rPr>
    </w:lvl>
    <w:lvl w:ilvl="2">
      <w:start w:val="1"/>
      <w:numFmt w:val="decimal"/>
      <w:pStyle w:val="Heading3"/>
      <w:lvlText w:val="%3."/>
      <w:lvlJc w:val="left"/>
      <w:pPr>
        <w:ind w:left="0" w:firstLine="1440"/>
      </w:pPr>
      <w:rPr>
        <w:rFonts w:hint="default"/>
        <w:b w:val="0"/>
        <w:i w:val="0"/>
        <w:sz w:val="24"/>
      </w:rPr>
    </w:lvl>
    <w:lvl w:ilvl="3">
      <w:start w:val="1"/>
      <w:numFmt w:val="lowerLetter"/>
      <w:pStyle w:val="Heading4"/>
      <w:lvlText w:val="%4."/>
      <w:lvlJc w:val="left"/>
      <w:pPr>
        <w:ind w:left="0" w:firstLine="2160"/>
      </w:pPr>
      <w:rPr>
        <w:rFonts w:ascii="Times New Roman" w:hAnsi="Times New Roman" w:hint="default"/>
        <w:b w:val="0"/>
        <w:i w:val="0"/>
        <w:sz w:val="24"/>
      </w:rPr>
    </w:lvl>
    <w:lvl w:ilvl="4">
      <w:start w:val="1"/>
      <w:numFmt w:val="decimal"/>
      <w:pStyle w:val="Heading5"/>
      <w:lvlText w:val="(%5)"/>
      <w:lvlJc w:val="left"/>
      <w:pPr>
        <w:ind w:left="0" w:firstLine="2880"/>
      </w:pPr>
      <w:rPr>
        <w:rFonts w:ascii="Times New Roman" w:hAnsi="Times New Roman" w:hint="default"/>
        <w:b w:val="0"/>
        <w:i w:val="0"/>
        <w:sz w:val="24"/>
      </w:rPr>
    </w:lvl>
    <w:lvl w:ilvl="5">
      <w:start w:val="1"/>
      <w:numFmt w:val="lowerLetter"/>
      <w:pStyle w:val="Heading6"/>
      <w:lvlText w:val="(%6)"/>
      <w:lvlJc w:val="left"/>
      <w:pPr>
        <w:ind w:left="0" w:firstLine="3600"/>
      </w:pPr>
      <w:rPr>
        <w:rFonts w:ascii="Times New Roman" w:hAnsi="Times New Roman" w:hint="default"/>
        <w:b w:val="0"/>
        <w:i w:val="0"/>
        <w:sz w:val="24"/>
      </w:rPr>
    </w:lvl>
    <w:lvl w:ilvl="6">
      <w:start w:val="1"/>
      <w:numFmt w:val="lowerRoman"/>
      <w:pStyle w:val="Heading7"/>
      <w:lvlText w:val="(%7)"/>
      <w:lvlJc w:val="left"/>
      <w:pPr>
        <w:ind w:left="0" w:firstLine="4320"/>
      </w:pPr>
      <w:rPr>
        <w:rFonts w:ascii="Times New Roman" w:hAnsi="Times New Roman" w:hint="default"/>
        <w:b w:val="0"/>
        <w:i w:val="0"/>
        <w:sz w:val="24"/>
      </w:rPr>
    </w:lvl>
    <w:lvl w:ilvl="7">
      <w:start w:val="1"/>
      <w:numFmt w:val="decimal"/>
      <w:pStyle w:val="Heading8"/>
      <w:lvlText w:val="%8)"/>
      <w:lvlJc w:val="left"/>
      <w:pPr>
        <w:ind w:left="0" w:firstLine="5040"/>
      </w:pPr>
      <w:rPr>
        <w:rFonts w:ascii="Times New Roman" w:hAnsi="Times New Roman" w:hint="default"/>
        <w:b w:val="0"/>
        <w:i w:val="0"/>
        <w:sz w:val="24"/>
      </w:rPr>
    </w:lvl>
    <w:lvl w:ilvl="8">
      <w:start w:val="1"/>
      <w:numFmt w:val="lowerLetter"/>
      <w:pStyle w:val="Heading9"/>
      <w:lvlText w:val="%9)"/>
      <w:lvlJc w:val="left"/>
      <w:pPr>
        <w:ind w:left="0" w:firstLine="5760"/>
      </w:pPr>
      <w:rPr>
        <w:rFonts w:ascii="Times New Roman" w:hAnsi="Times New Roman" w:hint="default"/>
        <w:b w:val="0"/>
        <w:i w:val="0"/>
        <w:sz w:val="24"/>
      </w:rPr>
    </w:lvl>
  </w:abstractNum>
  <w:abstractNum w:abstractNumId="12">
    <w:nsid w:val="399A7B09"/>
    <w:multiLevelType w:val="hybridMultilevel"/>
    <w:tmpl w:val="D9B0BE9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EBA139E"/>
    <w:multiLevelType w:val="hybridMultilevel"/>
    <w:tmpl w:val="6DC24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3D9260F"/>
    <w:multiLevelType w:val="hybridMultilevel"/>
    <w:tmpl w:val="D9B21EB0"/>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5BD2CED"/>
    <w:multiLevelType w:val="hybridMultilevel"/>
    <w:tmpl w:val="607041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7342613"/>
    <w:multiLevelType w:val="hybridMultilevel"/>
    <w:tmpl w:val="2F38B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82A1C68"/>
    <w:multiLevelType w:val="hybridMultilevel"/>
    <w:tmpl w:val="10585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2643B7"/>
    <w:multiLevelType w:val="hybridMultilevel"/>
    <w:tmpl w:val="FCE2FE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770525"/>
    <w:multiLevelType w:val="hybridMultilevel"/>
    <w:tmpl w:val="594C1358"/>
    <w:lvl w:ilvl="0">
      <w:start w:val="1"/>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8B23BBE"/>
    <w:multiLevelType w:val="hybridMultilevel"/>
    <w:tmpl w:val="ADE0128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6BB60475"/>
    <w:multiLevelType w:val="hybridMultilevel"/>
    <w:tmpl w:val="C554BF1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4762B29"/>
    <w:multiLevelType w:val="hybridMultilevel"/>
    <w:tmpl w:val="DB583C1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C8A14EC"/>
    <w:multiLevelType w:val="hybridMultilevel"/>
    <w:tmpl w:val="5AE2EB0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E5E390C"/>
    <w:multiLevelType w:val="hybridMultilevel"/>
    <w:tmpl w:val="E5DE30AE"/>
    <w:lvl w:ilvl="0">
      <w:start w:val="1"/>
      <w:numFmt w:val="upperLetter"/>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22"/>
  </w:num>
  <w:num w:numId="6">
    <w:abstractNumId w:val="12"/>
  </w:num>
  <w:num w:numId="7">
    <w:abstractNumId w:val="20"/>
  </w:num>
  <w:num w:numId="8">
    <w:abstractNumId w:val="0"/>
  </w:num>
  <w:num w:numId="9">
    <w:abstractNumId w:val="13"/>
  </w:num>
  <w:num w:numId="10">
    <w:abstractNumId w:val="21"/>
  </w:num>
  <w:num w:numId="11">
    <w:abstractNumId w:val="24"/>
  </w:num>
  <w:num w:numId="12">
    <w:abstractNumId w:val="10"/>
  </w:num>
  <w:num w:numId="13">
    <w:abstractNumId w:val="3"/>
  </w:num>
  <w:num w:numId="14">
    <w:abstractNumId w:val="1"/>
  </w:num>
  <w:num w:numId="15">
    <w:abstractNumId w:val="11"/>
  </w:num>
  <w:num w:numId="16">
    <w:abstractNumId w:val="17"/>
  </w:num>
  <w:num w:numId="17">
    <w:abstractNumId w:val="9"/>
  </w:num>
  <w:num w:numId="18">
    <w:abstractNumId w:val="5"/>
  </w:num>
  <w:num w:numId="19">
    <w:abstractNumId w:val="7"/>
  </w:num>
  <w:num w:numId="20">
    <w:abstractNumId w:val="18"/>
  </w:num>
  <w:num w:numId="21">
    <w:abstractNumId w:val="8"/>
  </w:num>
  <w:num w:numId="22">
    <w:abstractNumId w:val="15"/>
  </w:num>
  <w:num w:numId="23">
    <w:abstractNumId w:val="6"/>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2C"/>
    <w:rsid w:val="00025998"/>
    <w:rsid w:val="00054EF4"/>
    <w:rsid w:val="00083550"/>
    <w:rsid w:val="000B61D4"/>
    <w:rsid w:val="00160AA7"/>
    <w:rsid w:val="001D379C"/>
    <w:rsid w:val="001D51E5"/>
    <w:rsid w:val="001E3183"/>
    <w:rsid w:val="001F2183"/>
    <w:rsid w:val="001F72DD"/>
    <w:rsid w:val="0021247A"/>
    <w:rsid w:val="0021640D"/>
    <w:rsid w:val="0028497B"/>
    <w:rsid w:val="002B020F"/>
    <w:rsid w:val="002B3E1E"/>
    <w:rsid w:val="00336D9B"/>
    <w:rsid w:val="00366595"/>
    <w:rsid w:val="003672B8"/>
    <w:rsid w:val="00380503"/>
    <w:rsid w:val="003D6532"/>
    <w:rsid w:val="003F6FC5"/>
    <w:rsid w:val="004272AE"/>
    <w:rsid w:val="00454398"/>
    <w:rsid w:val="0047593A"/>
    <w:rsid w:val="0049781A"/>
    <w:rsid w:val="004A1E41"/>
    <w:rsid w:val="004B0701"/>
    <w:rsid w:val="004F72A1"/>
    <w:rsid w:val="00517417"/>
    <w:rsid w:val="0054628C"/>
    <w:rsid w:val="005A7DE9"/>
    <w:rsid w:val="005B054A"/>
    <w:rsid w:val="00616868"/>
    <w:rsid w:val="0063354D"/>
    <w:rsid w:val="006420CE"/>
    <w:rsid w:val="0065070D"/>
    <w:rsid w:val="006746A0"/>
    <w:rsid w:val="006751AF"/>
    <w:rsid w:val="006A211B"/>
    <w:rsid w:val="006E1020"/>
    <w:rsid w:val="006E1507"/>
    <w:rsid w:val="006F0ED1"/>
    <w:rsid w:val="00711F6B"/>
    <w:rsid w:val="007A7121"/>
    <w:rsid w:val="007B0C48"/>
    <w:rsid w:val="008021D5"/>
    <w:rsid w:val="008D1752"/>
    <w:rsid w:val="008E2672"/>
    <w:rsid w:val="008F4137"/>
    <w:rsid w:val="00901959"/>
    <w:rsid w:val="00903D2C"/>
    <w:rsid w:val="0093268A"/>
    <w:rsid w:val="009D478C"/>
    <w:rsid w:val="009F543D"/>
    <w:rsid w:val="00A21425"/>
    <w:rsid w:val="00A31DB7"/>
    <w:rsid w:val="00A50900"/>
    <w:rsid w:val="00A935DE"/>
    <w:rsid w:val="00AB6B3E"/>
    <w:rsid w:val="00B04072"/>
    <w:rsid w:val="00B66751"/>
    <w:rsid w:val="00BC65B7"/>
    <w:rsid w:val="00BD0A68"/>
    <w:rsid w:val="00BE4570"/>
    <w:rsid w:val="00BF2271"/>
    <w:rsid w:val="00BF32FC"/>
    <w:rsid w:val="00C25F77"/>
    <w:rsid w:val="00C5145B"/>
    <w:rsid w:val="00C5287E"/>
    <w:rsid w:val="00C64A13"/>
    <w:rsid w:val="00D05C18"/>
    <w:rsid w:val="00D07252"/>
    <w:rsid w:val="00D2045F"/>
    <w:rsid w:val="00D516F4"/>
    <w:rsid w:val="00DE45AD"/>
    <w:rsid w:val="00E1286B"/>
    <w:rsid w:val="00EA1660"/>
    <w:rsid w:val="00EB5AB0"/>
    <w:rsid w:val="00F0665B"/>
    <w:rsid w:val="00FA1F46"/>
    <w:rsid w:val="00FD7C87"/>
    <w:rsid w:val="00FE1DBC"/>
    <w:rsid w:val="00FE4E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61F0204"/>
  <w15:chartTrackingRefBased/>
  <w15:docId w15:val="{40F2BC77-7895-484D-94E7-83655229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link w:val="Heading1Char"/>
    <w:uiPriority w:val="9"/>
    <w:qFormat/>
    <w:rsid w:val="00EA1660"/>
    <w:pPr>
      <w:keepNext/>
      <w:keepLines/>
      <w:numPr>
        <w:numId w:val="15"/>
      </w:numPr>
      <w:spacing w:after="240"/>
      <w:outlineLvl w:val="0"/>
    </w:pPr>
    <w:rPr>
      <w:bCs/>
      <w:szCs w:val="28"/>
    </w:rPr>
  </w:style>
  <w:style w:type="paragraph" w:styleId="Heading2">
    <w:name w:val="heading 2"/>
    <w:basedOn w:val="Normal"/>
    <w:next w:val="BodyText"/>
    <w:link w:val="Heading2Char"/>
    <w:uiPriority w:val="9"/>
    <w:qFormat/>
    <w:rsid w:val="00EA1660"/>
    <w:pPr>
      <w:numPr>
        <w:ilvl w:val="1"/>
        <w:numId w:val="15"/>
      </w:numPr>
      <w:spacing w:after="240"/>
      <w:outlineLvl w:val="1"/>
    </w:pPr>
    <w:rPr>
      <w:bCs/>
      <w:szCs w:val="26"/>
    </w:rPr>
  </w:style>
  <w:style w:type="paragraph" w:styleId="Heading3">
    <w:name w:val="heading 3"/>
    <w:basedOn w:val="Normal"/>
    <w:next w:val="BodyText"/>
    <w:link w:val="Heading3Char"/>
    <w:uiPriority w:val="9"/>
    <w:qFormat/>
    <w:rsid w:val="00EA1660"/>
    <w:pPr>
      <w:numPr>
        <w:ilvl w:val="2"/>
        <w:numId w:val="15"/>
      </w:numPr>
      <w:spacing w:after="240"/>
      <w:outlineLvl w:val="2"/>
    </w:pPr>
    <w:rPr>
      <w:bCs/>
      <w:szCs w:val="24"/>
    </w:rPr>
  </w:style>
  <w:style w:type="paragraph" w:styleId="Heading4">
    <w:name w:val="heading 4"/>
    <w:basedOn w:val="Normal"/>
    <w:next w:val="BodyText"/>
    <w:link w:val="Heading4Char"/>
    <w:uiPriority w:val="9"/>
    <w:qFormat/>
    <w:rsid w:val="00EA1660"/>
    <w:pPr>
      <w:numPr>
        <w:ilvl w:val="3"/>
        <w:numId w:val="15"/>
      </w:numPr>
      <w:spacing w:after="240"/>
      <w:outlineLvl w:val="3"/>
    </w:pPr>
    <w:rPr>
      <w:bCs/>
      <w:iCs/>
      <w:szCs w:val="24"/>
    </w:rPr>
  </w:style>
  <w:style w:type="paragraph" w:styleId="Heading5">
    <w:name w:val="heading 5"/>
    <w:basedOn w:val="Normal"/>
    <w:next w:val="BodyText"/>
    <w:link w:val="Heading5Char"/>
    <w:uiPriority w:val="9"/>
    <w:qFormat/>
    <w:rsid w:val="00EA1660"/>
    <w:pPr>
      <w:numPr>
        <w:ilvl w:val="4"/>
        <w:numId w:val="15"/>
      </w:numPr>
      <w:spacing w:after="240"/>
      <w:outlineLvl w:val="4"/>
    </w:pPr>
    <w:rPr>
      <w:szCs w:val="24"/>
    </w:rPr>
  </w:style>
  <w:style w:type="paragraph" w:styleId="Heading6">
    <w:name w:val="heading 6"/>
    <w:basedOn w:val="Normal"/>
    <w:next w:val="BodyText"/>
    <w:link w:val="Heading6Char"/>
    <w:uiPriority w:val="9"/>
    <w:rsid w:val="00EA1660"/>
    <w:pPr>
      <w:numPr>
        <w:ilvl w:val="5"/>
        <w:numId w:val="15"/>
      </w:numPr>
      <w:spacing w:after="240"/>
      <w:outlineLvl w:val="5"/>
    </w:pPr>
    <w:rPr>
      <w:iCs/>
      <w:szCs w:val="24"/>
    </w:rPr>
  </w:style>
  <w:style w:type="paragraph" w:styleId="Heading7">
    <w:name w:val="heading 7"/>
    <w:basedOn w:val="Normal"/>
    <w:next w:val="BodyText"/>
    <w:link w:val="Heading7Char"/>
    <w:uiPriority w:val="9"/>
    <w:rsid w:val="00EA1660"/>
    <w:pPr>
      <w:numPr>
        <w:ilvl w:val="6"/>
        <w:numId w:val="15"/>
      </w:numPr>
      <w:spacing w:after="240"/>
      <w:outlineLvl w:val="6"/>
    </w:pPr>
    <w:rPr>
      <w:iCs/>
      <w:szCs w:val="24"/>
    </w:rPr>
  </w:style>
  <w:style w:type="paragraph" w:styleId="Heading8">
    <w:name w:val="heading 8"/>
    <w:basedOn w:val="Normal"/>
    <w:next w:val="BodyText"/>
    <w:link w:val="Heading8Char"/>
    <w:uiPriority w:val="9"/>
    <w:rsid w:val="00EA1660"/>
    <w:pPr>
      <w:numPr>
        <w:ilvl w:val="7"/>
        <w:numId w:val="15"/>
      </w:numPr>
      <w:spacing w:after="240"/>
      <w:outlineLvl w:val="7"/>
    </w:pPr>
  </w:style>
  <w:style w:type="paragraph" w:styleId="Heading9">
    <w:name w:val="heading 9"/>
    <w:basedOn w:val="Normal"/>
    <w:next w:val="BodyText"/>
    <w:link w:val="Heading9Char"/>
    <w:uiPriority w:val="9"/>
    <w:rsid w:val="00EA1660"/>
    <w:pPr>
      <w:numPr>
        <w:ilvl w:val="8"/>
        <w:numId w:val="15"/>
      </w:numPr>
      <w:spacing w:after="240"/>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rsid w:val="00D2045F"/>
    <w:rPr>
      <w:rFonts w:ascii="Tahoma" w:hAnsi="Tahoma" w:cs="Tahoma"/>
      <w:sz w:val="16"/>
      <w:szCs w:val="16"/>
    </w:rPr>
  </w:style>
  <w:style w:type="character" w:customStyle="1" w:styleId="BalloonTextChar">
    <w:name w:val="Balloon Text Char"/>
    <w:link w:val="BalloonText"/>
    <w:rsid w:val="00D2045F"/>
    <w:rPr>
      <w:rFonts w:ascii="Tahoma" w:hAnsi="Tahoma" w:cs="Tahoma"/>
      <w:sz w:val="16"/>
      <w:szCs w:val="16"/>
    </w:rPr>
  </w:style>
  <w:style w:type="paragraph" w:styleId="BodyText">
    <w:name w:val="Body Text"/>
    <w:basedOn w:val="Normal"/>
    <w:link w:val="BodyTextChar"/>
    <w:qFormat/>
    <w:rsid w:val="008F4137"/>
    <w:pPr>
      <w:spacing w:after="240"/>
    </w:pPr>
    <w:rPr>
      <w:szCs w:val="24"/>
    </w:rPr>
  </w:style>
  <w:style w:type="character" w:customStyle="1" w:styleId="BodyTextChar">
    <w:name w:val="Body Text Char"/>
    <w:link w:val="BodyText"/>
    <w:rsid w:val="008F4137"/>
    <w:rPr>
      <w:sz w:val="24"/>
      <w:szCs w:val="24"/>
    </w:rPr>
  </w:style>
  <w:style w:type="paragraph" w:styleId="ListParagraph">
    <w:name w:val="List Paragraph"/>
    <w:basedOn w:val="Normal"/>
    <w:uiPriority w:val="1"/>
    <w:qFormat/>
    <w:rsid w:val="008F4137"/>
    <w:pPr>
      <w:ind w:left="720"/>
    </w:pPr>
    <w:rPr>
      <w:rFonts w:ascii="Calibri" w:eastAsia="Calibri" w:hAnsi="Calibri" w:cs="Calibri"/>
      <w:sz w:val="22"/>
      <w:szCs w:val="22"/>
    </w:rPr>
  </w:style>
  <w:style w:type="paragraph" w:customStyle="1" w:styleId="Default">
    <w:name w:val="Default"/>
    <w:rsid w:val="00054EF4"/>
    <w:pPr>
      <w:autoSpaceDE w:val="0"/>
      <w:autoSpaceDN w:val="0"/>
      <w:adjustRightInd w:val="0"/>
    </w:pPr>
    <w:rPr>
      <w:rFonts w:ascii="Arial" w:hAnsi="Arial" w:cs="Arial"/>
      <w:color w:val="000000"/>
      <w:sz w:val="24"/>
      <w:szCs w:val="24"/>
    </w:rPr>
  </w:style>
  <w:style w:type="paragraph" w:styleId="Header">
    <w:name w:val="header"/>
    <w:basedOn w:val="Normal"/>
    <w:link w:val="HeaderChar"/>
    <w:rsid w:val="00054EF4"/>
    <w:pPr>
      <w:tabs>
        <w:tab w:val="center" w:pos="4680"/>
        <w:tab w:val="right" w:pos="9360"/>
      </w:tabs>
    </w:pPr>
  </w:style>
  <w:style w:type="character" w:customStyle="1" w:styleId="HeaderChar">
    <w:name w:val="Header Char"/>
    <w:link w:val="Header"/>
    <w:rsid w:val="00054EF4"/>
    <w:rPr>
      <w:sz w:val="24"/>
    </w:rPr>
  </w:style>
  <w:style w:type="paragraph" w:styleId="Footer">
    <w:name w:val="footer"/>
    <w:basedOn w:val="Normal"/>
    <w:link w:val="FooterChar"/>
    <w:uiPriority w:val="99"/>
    <w:rsid w:val="00054EF4"/>
    <w:pPr>
      <w:tabs>
        <w:tab w:val="center" w:pos="4680"/>
        <w:tab w:val="right" w:pos="9360"/>
      </w:tabs>
    </w:pPr>
  </w:style>
  <w:style w:type="character" w:customStyle="1" w:styleId="FooterChar">
    <w:name w:val="Footer Char"/>
    <w:link w:val="Footer"/>
    <w:uiPriority w:val="99"/>
    <w:rsid w:val="00054EF4"/>
    <w:rPr>
      <w:sz w:val="24"/>
    </w:rPr>
  </w:style>
  <w:style w:type="table" w:styleId="TableGrid">
    <w:name w:val="Table Grid"/>
    <w:basedOn w:val="TableNormal"/>
    <w:uiPriority w:val="59"/>
    <w:rsid w:val="00054E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JFirst5">
    <w:name w:val="Body Text FJ First .5"/>
    <w:aliases w:val="btjf"/>
    <w:basedOn w:val="Normal"/>
    <w:rsid w:val="00054EF4"/>
    <w:pPr>
      <w:spacing w:after="240"/>
      <w:ind w:firstLine="720"/>
      <w:jc w:val="both"/>
    </w:pPr>
  </w:style>
  <w:style w:type="paragraph" w:styleId="NormalIndent">
    <w:name w:val="Normal Indent"/>
    <w:basedOn w:val="Normal"/>
    <w:rsid w:val="00054EF4"/>
    <w:pPr>
      <w:spacing w:after="240"/>
      <w:ind w:left="720"/>
    </w:pPr>
  </w:style>
  <w:style w:type="character" w:customStyle="1" w:styleId="Heading1Char">
    <w:name w:val="Heading 1 Char"/>
    <w:link w:val="Heading1"/>
    <w:uiPriority w:val="9"/>
    <w:rsid w:val="00EA1660"/>
    <w:rPr>
      <w:bCs/>
      <w:sz w:val="24"/>
      <w:szCs w:val="28"/>
    </w:rPr>
  </w:style>
  <w:style w:type="character" w:customStyle="1" w:styleId="Heading2Char">
    <w:name w:val="Heading 2 Char"/>
    <w:link w:val="Heading2"/>
    <w:uiPriority w:val="9"/>
    <w:rsid w:val="00EA1660"/>
    <w:rPr>
      <w:bCs/>
      <w:sz w:val="24"/>
      <w:szCs w:val="26"/>
    </w:rPr>
  </w:style>
  <w:style w:type="character" w:customStyle="1" w:styleId="Heading3Char">
    <w:name w:val="Heading 3 Char"/>
    <w:link w:val="Heading3"/>
    <w:uiPriority w:val="9"/>
    <w:rsid w:val="00EA1660"/>
    <w:rPr>
      <w:bCs/>
      <w:sz w:val="24"/>
      <w:szCs w:val="24"/>
    </w:rPr>
  </w:style>
  <w:style w:type="character" w:customStyle="1" w:styleId="Heading4Char">
    <w:name w:val="Heading 4 Char"/>
    <w:link w:val="Heading4"/>
    <w:uiPriority w:val="9"/>
    <w:rsid w:val="00EA1660"/>
    <w:rPr>
      <w:bCs/>
      <w:iCs/>
      <w:sz w:val="24"/>
      <w:szCs w:val="24"/>
    </w:rPr>
  </w:style>
  <w:style w:type="character" w:customStyle="1" w:styleId="Heading5Char">
    <w:name w:val="Heading 5 Char"/>
    <w:link w:val="Heading5"/>
    <w:uiPriority w:val="9"/>
    <w:rsid w:val="00EA1660"/>
    <w:rPr>
      <w:sz w:val="24"/>
      <w:szCs w:val="24"/>
    </w:rPr>
  </w:style>
  <w:style w:type="character" w:customStyle="1" w:styleId="Heading6Char">
    <w:name w:val="Heading 6 Char"/>
    <w:link w:val="Heading6"/>
    <w:uiPriority w:val="9"/>
    <w:rsid w:val="00EA1660"/>
    <w:rPr>
      <w:iCs/>
      <w:sz w:val="24"/>
      <w:szCs w:val="24"/>
    </w:rPr>
  </w:style>
  <w:style w:type="character" w:customStyle="1" w:styleId="Heading7Char">
    <w:name w:val="Heading 7 Char"/>
    <w:link w:val="Heading7"/>
    <w:uiPriority w:val="9"/>
    <w:rsid w:val="00EA1660"/>
    <w:rPr>
      <w:iCs/>
      <w:sz w:val="24"/>
      <w:szCs w:val="24"/>
    </w:rPr>
  </w:style>
  <w:style w:type="character" w:customStyle="1" w:styleId="Heading8Char">
    <w:name w:val="Heading 8 Char"/>
    <w:link w:val="Heading8"/>
    <w:uiPriority w:val="9"/>
    <w:rsid w:val="00EA1660"/>
    <w:rPr>
      <w:sz w:val="24"/>
    </w:rPr>
  </w:style>
  <w:style w:type="character" w:customStyle="1" w:styleId="Heading9Char">
    <w:name w:val="Heading 9 Char"/>
    <w:link w:val="Heading9"/>
    <w:uiPriority w:val="9"/>
    <w:rsid w:val="00EA1660"/>
    <w:rPr>
      <w:iCs/>
      <w:sz w:val="24"/>
    </w:rPr>
  </w:style>
  <w:style w:type="paragraph" w:customStyle="1" w:styleId="DocID">
    <w:name w:val="DocID"/>
    <w:basedOn w:val="Footer"/>
    <w:next w:val="Footer"/>
    <w:link w:val="DocIDChar"/>
    <w:rsid w:val="00711F6B"/>
    <w:pPr>
      <w:tabs>
        <w:tab w:val="clear" w:pos="4680"/>
        <w:tab w:val="clear" w:pos="9360"/>
      </w:tabs>
    </w:pPr>
    <w:rPr>
      <w:sz w:val="16"/>
    </w:rPr>
  </w:style>
  <w:style w:type="character" w:customStyle="1" w:styleId="DocIDChar">
    <w:name w:val="DocID Char"/>
    <w:basedOn w:val="BodyTextChar"/>
    <w:link w:val="DocID"/>
    <w:rsid w:val="00711F6B"/>
    <w:rPr>
      <w:sz w:val="16"/>
      <w:szCs w:val="24"/>
      <w:lang w:val="en-US" w:eastAsia="en-US"/>
    </w:rPr>
  </w:style>
  <w:style w:type="character" w:customStyle="1" w:styleId="UnresolvedMention">
    <w:name w:val="Unresolved Mention"/>
    <w:basedOn w:val="DefaultParagraphFont"/>
    <w:uiPriority w:val="99"/>
    <w:semiHidden/>
    <w:unhideWhenUsed/>
    <w:rsid w:val="00633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jork.amy@dorsey.com" TargetMode="External" /><Relationship Id="rId5" Type="http://schemas.openxmlformats.org/officeDocument/2006/relationships/hyperlink" Target="mailto:danos.john@dorsey.com" TargetMode="External" /><Relationship Id="rId6" Type="http://schemas.openxmlformats.org/officeDocument/2006/relationships/hyperlink" Target="mailto:regan.erin@dorsey.co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1185</ap:Words>
  <ap:Characters>6757</ap:Characters>
  <ap:Application>Microsoft Office Word</ap:Application>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7927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2024-10-17T16:30:47Z</dcterms:created>
  <dcterms:modified xsi:type="dcterms:W3CDTF">2024-10-17T16:30:47Z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4886-3392-8177\2</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4886-3392-8177\2</vt:lpwstr>
  </property>
  <property fmtid="{D5CDD505-2E9C-101B-9397-08002B2CF9AE}" pid="7" name="EMAIL_OWNER_ADDRESS">
    <vt:lpwstr>4AAAyjQjm0EOGgIS3eaK2DGiJWJYS4cTpdqRnFYuXcsSu8SHWQKwtfu4ww==</vt:lpwstr>
  </property>
  <property fmtid="{D5CDD505-2E9C-101B-9397-08002B2CF9AE}" pid="8" name="MAIL_MSG_ID1">
    <vt:lpwstr>oFAAohepTGvwTLgQjv3wf7JS1vE6ZVADYxsMyn2Td+Us0UiYcjDJef9A9mB8DmHWrCNQ5FCrmO22UItD
QAlI6nOdQ/CnxpOkWEtTskRnojujXHbOYXWfeWbVPHHwd4NwKaDf8tNv9NpInFdOvl/3TBdqHWJx
3RptdvZ31XCzaDs/IECh38byDDj4+oIWxRJLHkS3X8NiZko1qdwjOfnEp3S6gq4/zfqFyTwwSpQ2
fkmLtEPMnUv8yvlyw</vt:lpwstr>
  </property>
  <property fmtid="{D5CDD505-2E9C-101B-9397-08002B2CF9AE}" pid="9" name="MAIL_MSG_ID2">
    <vt:lpwstr>2Q3oUUlPmLh8yhfehBnLnW9Nwpb/Tx1HGRNveG0lLVW7b7ScearIRSBlSAx
8ln97xo2DRaEljtnWCGyNQWWXJasFmZzykYZuoHDuqpRl1Y9</vt:lpwstr>
  </property>
  <property fmtid="{D5CDD505-2E9C-101B-9397-08002B2CF9AE}" pid="10" name="RESPONSE_SENDER_NAME">
    <vt:lpwstr>gAAAJ+PfKkF/6hjneXRMEBWhoO7WauSw9f+M</vt:lpwstr>
  </property>
</Properties>
</file>